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6214C01F"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DB6442">
        <w:rPr>
          <w:rFonts w:ascii="Arial" w:eastAsia="Batang" w:hAnsi="Arial" w:cs="Arial"/>
          <w:b/>
          <w:bCs/>
          <w:szCs w:val="22"/>
        </w:rPr>
        <w:t>5-</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460AC9" w:rsidRPr="00460AC9">
        <w:rPr>
          <w:rFonts w:ascii="Arial" w:eastAsia="Batang" w:hAnsi="Arial" w:cs="Arial"/>
          <w:b/>
          <w:bCs/>
          <w:szCs w:val="22"/>
        </w:rPr>
        <w:t>R1-2105162</w:t>
      </w:r>
    </w:p>
    <w:p w14:paraId="3B0F6453" w14:textId="198A406B"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DB6442">
        <w:rPr>
          <w:rFonts w:ascii="Arial" w:eastAsia="MS Mincho" w:hAnsi="Arial" w:cs="Arial"/>
          <w:b/>
          <w:bCs/>
          <w:szCs w:val="22"/>
          <w:lang w:eastAsia="ja-JP"/>
        </w:rPr>
        <w:t>May 10</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w:t>
      </w:r>
      <w:r w:rsidR="00DB6442">
        <w:rPr>
          <w:rFonts w:ascii="Arial" w:eastAsia="MS Mincho" w:hAnsi="Arial" w:cs="Arial"/>
          <w:b/>
          <w:bCs/>
          <w:szCs w:val="22"/>
          <w:lang w:eastAsia="ja-JP"/>
        </w:rPr>
        <w:t>27</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9E016F9"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EF5FE8">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F7BE206"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EF5FE8" w:rsidRPr="00EF5FE8">
        <w:rPr>
          <w:b/>
          <w:color w:val="000000"/>
          <w:lang w:val="en-US"/>
        </w:rPr>
        <w:t>Considerations on unlicensed URLLC</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2AEEA3FA" w:rsidR="004D5BF4" w:rsidRDefault="002E24EA" w:rsidP="004D5BF4">
      <w:pPr>
        <w:rPr>
          <w:rFonts w:eastAsia="MS Mincho"/>
          <w:lang w:val="en-US"/>
        </w:rPr>
      </w:pPr>
      <w:r>
        <w:rPr>
          <w:rFonts w:eastAsia="MS Mincho"/>
          <w:lang w:val="en-US"/>
        </w:rPr>
        <w:t>In RAN1#10</w:t>
      </w:r>
      <w:r w:rsidR="00EF5FE8">
        <w:rPr>
          <w:rFonts w:eastAsia="MS Mincho"/>
          <w:lang w:val="en-US"/>
        </w:rPr>
        <w:t>4bis-</w:t>
      </w:r>
      <w:r>
        <w:rPr>
          <w:rFonts w:eastAsia="MS Mincho"/>
          <w:lang w:val="en-US"/>
        </w:rPr>
        <w:t xml:space="preserve">e we </w:t>
      </w:r>
      <w:r w:rsidR="00F20795">
        <w:rPr>
          <w:rFonts w:eastAsia="MS Mincho"/>
          <w:lang w:val="en-US"/>
        </w:rPr>
        <w:t>made the following agreements</w:t>
      </w:r>
      <w:r>
        <w:rPr>
          <w:rFonts w:eastAsia="MS Mincho"/>
          <w:lang w:val="en-US"/>
        </w:rPr>
        <w:t>:</w:t>
      </w:r>
    </w:p>
    <w:p w14:paraId="20157395" w14:textId="77777777" w:rsidR="00F30E81" w:rsidRDefault="00F30E81" w:rsidP="004D5BF4">
      <w:pPr>
        <w:rPr>
          <w:rFonts w:eastAsia="MS Mincho"/>
          <w:lang w:val="en-US"/>
        </w:rPr>
      </w:pPr>
    </w:p>
    <w:p w14:paraId="74AD835C" w14:textId="77777777" w:rsidR="00F30E81" w:rsidRPr="00F30E81" w:rsidRDefault="00F30E81" w:rsidP="00F30E81">
      <w:pPr>
        <w:pStyle w:val="ListParagraph"/>
        <w:spacing w:line="252" w:lineRule="auto"/>
        <w:ind w:left="360"/>
        <w:rPr>
          <w:i/>
          <w:iCs/>
          <w:lang w:eastAsia="ja-JP"/>
        </w:rPr>
      </w:pPr>
      <w:r w:rsidRPr="00F30E81">
        <w:rPr>
          <w:i/>
          <w:iCs/>
          <w:highlight w:val="green"/>
          <w:lang w:eastAsia="ja-JP"/>
        </w:rPr>
        <w:t>Agreement</w:t>
      </w:r>
      <w:r w:rsidRPr="00F30E81">
        <w:rPr>
          <w:i/>
          <w:iCs/>
          <w:lang w:eastAsia="ja-JP"/>
        </w:rPr>
        <w:t>:</w:t>
      </w:r>
    </w:p>
    <w:p w14:paraId="3F954A39" w14:textId="77777777" w:rsidR="00F30E81" w:rsidRPr="00F30E81" w:rsidRDefault="00F30E81" w:rsidP="00F30E81">
      <w:pPr>
        <w:pStyle w:val="ListParagraph"/>
        <w:numPr>
          <w:ilvl w:val="0"/>
          <w:numId w:val="30"/>
        </w:numPr>
        <w:tabs>
          <w:tab w:val="clear" w:pos="720"/>
          <w:tab w:val="num" w:pos="1080"/>
        </w:tabs>
        <w:spacing w:after="0" w:line="252" w:lineRule="auto"/>
        <w:ind w:left="1080"/>
        <w:contextualSpacing w:val="0"/>
        <w:rPr>
          <w:i/>
          <w:iCs/>
          <w:lang w:eastAsia="ja-JP"/>
        </w:rPr>
      </w:pPr>
      <w:r w:rsidRPr="00F30E81">
        <w:rPr>
          <w:i/>
          <w:iCs/>
          <w:lang w:eastAsia="ja-JP"/>
        </w:rPr>
        <w:t>Option 2-b and option 3 are not considered further for the agreement in RAN1#103-e regarding CG harmonization</w:t>
      </w:r>
    </w:p>
    <w:p w14:paraId="1B115BA7" w14:textId="73B5FA82" w:rsidR="00F20795" w:rsidRPr="00F20795" w:rsidRDefault="00F20795" w:rsidP="00F20795">
      <w:pPr>
        <w:ind w:left="720"/>
        <w:rPr>
          <w:rFonts w:ascii="Calibri" w:hAnsi="Calibri" w:cs="Calibri"/>
          <w:i/>
          <w:iCs/>
          <w:szCs w:val="22"/>
        </w:rPr>
      </w:pPr>
      <w:r w:rsidRPr="00F20795">
        <w:rPr>
          <w:i/>
          <w:iCs/>
        </w:rPr>
        <w:t> </w:t>
      </w:r>
    </w:p>
    <w:p w14:paraId="422FF475" w14:textId="0FF20E03" w:rsidR="00855F39"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F30E81">
        <w:rPr>
          <w:lang w:val="en-US" w:eastAsia="x-none"/>
        </w:rPr>
        <w:t>unlicensed URLLC</w:t>
      </w:r>
      <w:r w:rsidR="00FA7A77">
        <w:rPr>
          <w:lang w:val="en-US" w:eastAsia="x-none"/>
        </w:rPr>
        <w:t>.</w:t>
      </w:r>
    </w:p>
    <w:p w14:paraId="0BC2A6A2" w14:textId="77777777" w:rsidR="00890F4C" w:rsidRPr="00FA7A77" w:rsidRDefault="00890F4C" w:rsidP="00855F39">
      <w:pPr>
        <w:rPr>
          <w:lang w:val="en-US" w:eastAsia="x-none"/>
        </w:rPr>
      </w:pPr>
      <w:bookmarkStart w:id="2" w:name="_Hlk68192600"/>
    </w:p>
    <w:p w14:paraId="1C8EA0B4" w14:textId="1AB84615" w:rsidR="007A0C86" w:rsidRDefault="00F30E81"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COT Initiator</w:t>
      </w:r>
    </w:p>
    <w:bookmarkEnd w:id="2"/>
    <w:p w14:paraId="1EF58BA4" w14:textId="63203D40" w:rsidR="00A70304" w:rsidRDefault="00A70304" w:rsidP="00A70304">
      <w:pPr>
        <w:rPr>
          <w:lang w:val="en-US"/>
        </w:rPr>
      </w:pPr>
      <w:r>
        <w:rPr>
          <w:lang w:val="en-US"/>
        </w:rPr>
        <w:t>In the previous meeting, we discussed methods for the UE to determine whether an uplink transmission should be transmitted under a gNB initiated COT or under a UE initiated COT, especially for cases where the uplink transmission starts at the UE’s FFP [1].  The scenarios considered were for scheduled uplink transmission and configured uplink transmission.</w:t>
      </w:r>
    </w:p>
    <w:p w14:paraId="4CFAE79F" w14:textId="77777777" w:rsidR="00A70304" w:rsidRDefault="00A70304" w:rsidP="00A70304">
      <w:pPr>
        <w:rPr>
          <w:lang w:val="en-US"/>
        </w:rPr>
      </w:pPr>
    </w:p>
    <w:p w14:paraId="50949ED2" w14:textId="77777777" w:rsidR="00A70304" w:rsidRDefault="00A70304" w:rsidP="00A70304">
      <w:pPr>
        <w:pStyle w:val="Heading3"/>
        <w:numPr>
          <w:ilvl w:val="2"/>
          <w:numId w:val="5"/>
        </w:numPr>
        <w:rPr>
          <w:lang w:val="en-US"/>
        </w:rPr>
      </w:pPr>
      <w:r>
        <w:rPr>
          <w:lang w:val="en-US"/>
        </w:rPr>
        <w:t>COT Initiator – Scheduled Uplink Transmission</w:t>
      </w:r>
    </w:p>
    <w:p w14:paraId="709DB2E1" w14:textId="5C4AF3B6" w:rsidR="00A70304" w:rsidRDefault="00A70304" w:rsidP="00A70304">
      <w:pPr>
        <w:rPr>
          <w:lang w:val="en-US"/>
        </w:rPr>
      </w:pPr>
      <w:r w:rsidRPr="00900397">
        <w:rPr>
          <w:lang w:val="en-US"/>
        </w:rPr>
        <w:t>For scheduled uplink transmission, e.g. a PUCCH or PUSCH scheduled by a DL Grant or an UL Grant, the scenario</w:t>
      </w:r>
      <w:r>
        <w:rPr>
          <w:lang w:val="en-US"/>
        </w:rPr>
        <w:t>s</w:t>
      </w:r>
      <w:r w:rsidRPr="00900397">
        <w:rPr>
          <w:lang w:val="en-US"/>
        </w:rPr>
        <w:t xml:space="preserve"> under consideration </w:t>
      </w:r>
      <w:r>
        <w:rPr>
          <w:lang w:val="en-US"/>
        </w:rPr>
        <w:t>are</w:t>
      </w:r>
      <w:r w:rsidRPr="00900397">
        <w:rPr>
          <w:lang w:val="en-US"/>
        </w:rPr>
        <w:t xml:space="preserve"> shown in the example in </w:t>
      </w:r>
      <w:r w:rsidRPr="00900397">
        <w:rPr>
          <w:lang w:val="en-US"/>
        </w:rPr>
        <w:fldChar w:fldCharType="begin"/>
      </w:r>
      <w:r w:rsidRPr="00900397">
        <w:rPr>
          <w:lang w:val="en-US"/>
        </w:rPr>
        <w:instrText xml:space="preserve"> REF _Ref60830187 \h </w:instrText>
      </w:r>
      <w:r w:rsidRPr="00900397">
        <w:rPr>
          <w:lang w:val="en-US"/>
        </w:rPr>
      </w:r>
      <w:r w:rsidRPr="00900397">
        <w:rPr>
          <w:lang w:val="en-US"/>
        </w:rPr>
        <w:fldChar w:fldCharType="separate"/>
      </w:r>
      <w:r w:rsidR="00611AD1">
        <w:t xml:space="preserve">Figure </w:t>
      </w:r>
      <w:r w:rsidR="00611AD1">
        <w:rPr>
          <w:noProof/>
        </w:rPr>
        <w:t>1</w:t>
      </w:r>
      <w:r w:rsidRPr="00900397">
        <w:rPr>
          <w:lang w:val="en-US"/>
        </w:rPr>
        <w:fldChar w:fldCharType="end"/>
      </w:r>
      <w:r w:rsidRPr="00900397">
        <w:rPr>
          <w:lang w:val="en-US"/>
        </w:rPr>
        <w:t xml:space="preserve">, where the gNB has initiated a COT at time </w:t>
      </w:r>
      <w:r w:rsidRPr="00900397">
        <w:rPr>
          <w:i/>
          <w:iCs/>
          <w:lang w:val="en-US"/>
        </w:rPr>
        <w:t>t</w:t>
      </w:r>
      <w:r w:rsidRPr="00900397">
        <w:rPr>
          <w:vertAlign w:val="subscript"/>
          <w:lang w:val="en-US"/>
        </w:rPr>
        <w:t>2</w:t>
      </w:r>
      <w:r w:rsidRPr="00900397">
        <w:rPr>
          <w:lang w:val="en-US"/>
        </w:rPr>
        <w:t xml:space="preserve"> and either transmits a DL Grant (left hand side of </w:t>
      </w:r>
      <w:r w:rsidRPr="00900397">
        <w:rPr>
          <w:lang w:val="en-US"/>
        </w:rPr>
        <w:fldChar w:fldCharType="begin"/>
      </w:r>
      <w:r w:rsidRPr="00900397">
        <w:rPr>
          <w:lang w:val="en-US"/>
        </w:rPr>
        <w:instrText xml:space="preserve"> REF _Ref60830187 \h </w:instrText>
      </w:r>
      <w:r w:rsidRPr="00900397">
        <w:rPr>
          <w:lang w:val="en-US"/>
        </w:rPr>
      </w:r>
      <w:r w:rsidRPr="00900397">
        <w:rPr>
          <w:lang w:val="en-US"/>
        </w:rPr>
        <w:fldChar w:fldCharType="separate"/>
      </w:r>
      <w:r w:rsidR="00611AD1">
        <w:t xml:space="preserve">Figure </w:t>
      </w:r>
      <w:r w:rsidR="00611AD1">
        <w:rPr>
          <w:noProof/>
        </w:rPr>
        <w:t>1</w:t>
      </w:r>
      <w:r w:rsidRPr="00900397">
        <w:rPr>
          <w:lang w:val="en-US"/>
        </w:rPr>
        <w:fldChar w:fldCharType="end"/>
      </w:r>
      <w:r w:rsidRPr="00900397">
        <w:rPr>
          <w:lang w:val="en-US"/>
        </w:rPr>
        <w:t xml:space="preserve">) or an UL Grant (right hand side of </w:t>
      </w:r>
      <w:r w:rsidRPr="00900397">
        <w:rPr>
          <w:lang w:val="en-US"/>
        </w:rPr>
        <w:fldChar w:fldCharType="begin"/>
      </w:r>
      <w:r w:rsidRPr="00900397">
        <w:rPr>
          <w:lang w:val="en-US"/>
        </w:rPr>
        <w:instrText xml:space="preserve"> REF _Ref60830187 \h </w:instrText>
      </w:r>
      <w:r w:rsidRPr="00900397">
        <w:rPr>
          <w:lang w:val="en-US"/>
        </w:rPr>
      </w:r>
      <w:r w:rsidRPr="00900397">
        <w:rPr>
          <w:lang w:val="en-US"/>
        </w:rPr>
        <w:fldChar w:fldCharType="separate"/>
      </w:r>
      <w:r w:rsidR="00611AD1">
        <w:t xml:space="preserve">Figure </w:t>
      </w:r>
      <w:r w:rsidR="00611AD1">
        <w:rPr>
          <w:noProof/>
        </w:rPr>
        <w:t>1</w:t>
      </w:r>
      <w:r w:rsidRPr="00900397">
        <w:rPr>
          <w:lang w:val="en-US"/>
        </w:rPr>
        <w:fldChar w:fldCharType="end"/>
      </w:r>
      <w:r w:rsidRPr="00900397">
        <w:rPr>
          <w:lang w:val="en-US"/>
        </w:rPr>
        <w:t xml:space="preserve">) to schedule a PUCCH or a PUSCH at the start of the UE’s FFP at time </w:t>
      </w:r>
      <w:r w:rsidRPr="00900397">
        <w:rPr>
          <w:i/>
          <w:iCs/>
          <w:lang w:val="en-US"/>
        </w:rPr>
        <w:t>t</w:t>
      </w:r>
      <w:r w:rsidRPr="00900397">
        <w:rPr>
          <w:vertAlign w:val="subscript"/>
          <w:lang w:val="en-US"/>
        </w:rPr>
        <w:t>5</w:t>
      </w:r>
      <w:r w:rsidRPr="00900397">
        <w:rPr>
          <w:lang w:val="en-US"/>
        </w:rPr>
        <w:t xml:space="preserve">.  The UE needs to determine whether the UL transmission (PUCCH or PUSCH) is transmitted under the gNB’s COT in which case it must end prior to the gNB’s FFP Idle Period at time </w:t>
      </w:r>
      <w:r w:rsidRPr="00900397">
        <w:rPr>
          <w:i/>
          <w:iCs/>
          <w:lang w:val="en-US"/>
        </w:rPr>
        <w:t>t</w:t>
      </w:r>
      <w:r w:rsidRPr="00900397">
        <w:rPr>
          <w:vertAlign w:val="subscript"/>
          <w:lang w:val="en-US"/>
        </w:rPr>
        <w:t>7</w:t>
      </w:r>
      <w:r w:rsidRPr="00900397">
        <w:rPr>
          <w:lang w:val="en-US"/>
        </w:rPr>
        <w:t xml:space="preserve"> or under the UE’s COT in which case it can continue until the end of the UE’s FFP Idle Period at time </w:t>
      </w:r>
      <w:r w:rsidRPr="00900397">
        <w:rPr>
          <w:i/>
          <w:iCs/>
          <w:lang w:val="en-US"/>
        </w:rPr>
        <w:t>t</w:t>
      </w:r>
      <w:r w:rsidRPr="00900397">
        <w:rPr>
          <w:vertAlign w:val="subscript"/>
          <w:lang w:val="en-US"/>
        </w:rPr>
        <w:t>8</w:t>
      </w:r>
      <w:r w:rsidRPr="00900397">
        <w:rPr>
          <w:lang w:val="en-US"/>
        </w:rPr>
        <w:t xml:space="preserve">.  </w:t>
      </w:r>
    </w:p>
    <w:p w14:paraId="6CE464B6" w14:textId="77777777" w:rsidR="00A70304" w:rsidRDefault="00A70304" w:rsidP="00A70304">
      <w:pPr>
        <w:keepNext/>
        <w:jc w:val="center"/>
      </w:pPr>
      <w:r>
        <w:rPr>
          <w:noProof/>
        </w:rPr>
        <w:drawing>
          <wp:inline distT="0" distB="0" distL="0" distR="0" wp14:anchorId="326633AB" wp14:editId="15D8EEE8">
            <wp:extent cx="6541200" cy="141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41200" cy="1414800"/>
                    </a:xfrm>
                    <a:prstGeom prst="rect">
                      <a:avLst/>
                    </a:prstGeom>
                    <a:noFill/>
                  </pic:spPr>
                </pic:pic>
              </a:graphicData>
            </a:graphic>
          </wp:inline>
        </w:drawing>
      </w:r>
    </w:p>
    <w:p w14:paraId="10F88771" w14:textId="1E15451E" w:rsidR="00A70304" w:rsidRDefault="00A70304" w:rsidP="00A70304">
      <w:pPr>
        <w:pStyle w:val="Caption"/>
        <w:jc w:val="center"/>
        <w:rPr>
          <w:rFonts w:eastAsia="MS Mincho"/>
          <w:bCs/>
          <w:lang w:val="en-US"/>
        </w:rPr>
      </w:pPr>
      <w:bookmarkStart w:id="3" w:name="_Ref60830187"/>
      <w:r>
        <w:t xml:space="preserve">Figure </w:t>
      </w:r>
      <w:fldSimple w:instr=" SEQ Figure \* ARABIC ">
        <w:r w:rsidR="00795E94">
          <w:rPr>
            <w:noProof/>
          </w:rPr>
          <w:t>1</w:t>
        </w:r>
      </w:fldSimple>
      <w:bookmarkEnd w:id="3"/>
      <w:r>
        <w:t>: Scheduled UL transmission</w:t>
      </w:r>
    </w:p>
    <w:p w14:paraId="2970AE21" w14:textId="77777777" w:rsidR="00A70304" w:rsidRDefault="00A70304" w:rsidP="00A70304">
      <w:pPr>
        <w:rPr>
          <w:lang w:val="en-US"/>
        </w:rPr>
      </w:pPr>
    </w:p>
    <w:p w14:paraId="62D4E4AE" w14:textId="1DBDC775" w:rsidR="00A70304" w:rsidRPr="00900397" w:rsidRDefault="00A70304" w:rsidP="00A70304">
      <w:pPr>
        <w:rPr>
          <w:lang w:val="en-US"/>
        </w:rPr>
      </w:pPr>
      <w:r w:rsidRPr="00900397">
        <w:rPr>
          <w:lang w:val="en-US"/>
        </w:rPr>
        <w:t>The following alternatives were considered in RAN1#104e [</w:t>
      </w:r>
      <w:r w:rsidR="00611AD1">
        <w:rPr>
          <w:lang w:val="en-US"/>
        </w:rPr>
        <w:t>1</w:t>
      </w:r>
      <w:r w:rsidRPr="00900397">
        <w:rPr>
          <w:lang w:val="en-US"/>
        </w:rPr>
        <w:t>]:</w:t>
      </w:r>
    </w:p>
    <w:p w14:paraId="1C55C5FF" w14:textId="77777777" w:rsidR="00A70304" w:rsidRPr="00900397" w:rsidRDefault="00A70304" w:rsidP="00A70304">
      <w:pPr>
        <w:pStyle w:val="ListParagraph"/>
        <w:numPr>
          <w:ilvl w:val="0"/>
          <w:numId w:val="31"/>
        </w:numPr>
        <w:jc w:val="both"/>
        <w:rPr>
          <w:lang w:val="en-US"/>
        </w:rPr>
      </w:pPr>
      <w:r w:rsidRPr="00900397">
        <w:rPr>
          <w:b/>
          <w:bCs/>
          <w:lang w:val="en-US"/>
        </w:rPr>
        <w:lastRenderedPageBreak/>
        <w:t>Alt-a:</w:t>
      </w:r>
      <w:r w:rsidRPr="00900397">
        <w:rPr>
          <w:lang w:val="en-US"/>
        </w:rPr>
        <w:t xml:space="preserve"> Determination based on the content in the scheduling DCI</w:t>
      </w:r>
    </w:p>
    <w:p w14:paraId="219998DC" w14:textId="77777777" w:rsidR="00A70304" w:rsidRPr="00900397" w:rsidRDefault="00A70304" w:rsidP="00A70304">
      <w:pPr>
        <w:pStyle w:val="ListParagraph"/>
        <w:numPr>
          <w:ilvl w:val="1"/>
          <w:numId w:val="31"/>
        </w:numPr>
        <w:jc w:val="both"/>
        <w:rPr>
          <w:lang w:val="en-US"/>
        </w:rPr>
      </w:pPr>
      <w:r w:rsidRPr="00900397">
        <w:rPr>
          <w:lang w:val="en-US"/>
        </w:rPr>
        <w:t>FFS on whether the corresponding field(s) can be absent in DCI</w:t>
      </w:r>
    </w:p>
    <w:p w14:paraId="1C8A05DE" w14:textId="77777777" w:rsidR="00A70304" w:rsidRPr="00900397" w:rsidRDefault="00A70304" w:rsidP="00A70304">
      <w:pPr>
        <w:pStyle w:val="ListParagraph"/>
        <w:numPr>
          <w:ilvl w:val="2"/>
          <w:numId w:val="31"/>
        </w:numPr>
        <w:jc w:val="both"/>
        <w:rPr>
          <w:lang w:val="en-US"/>
        </w:rPr>
      </w:pPr>
      <w:r w:rsidRPr="00900397">
        <w:rPr>
          <w:lang w:val="en-US"/>
        </w:rPr>
        <w:t>If absent, determination based on the rules applied for configured UL transmissions is applied</w:t>
      </w:r>
    </w:p>
    <w:p w14:paraId="760FD63C" w14:textId="77777777" w:rsidR="00A70304" w:rsidRPr="00900397" w:rsidRDefault="00A70304" w:rsidP="00A70304">
      <w:pPr>
        <w:pStyle w:val="ListParagraph"/>
        <w:numPr>
          <w:ilvl w:val="1"/>
          <w:numId w:val="31"/>
        </w:numPr>
        <w:jc w:val="both"/>
        <w:rPr>
          <w:lang w:val="en-US"/>
        </w:rPr>
      </w:pPr>
      <w:r w:rsidRPr="00900397">
        <w:rPr>
          <w:lang w:val="en-US"/>
        </w:rPr>
        <w:t>FFS whether/how to handle the case when the gNB schedules an UL transmission in the next gNB’s FFP period</w:t>
      </w:r>
    </w:p>
    <w:p w14:paraId="589AABAA" w14:textId="77777777" w:rsidR="00A70304" w:rsidRPr="00545DF3" w:rsidRDefault="00A70304" w:rsidP="00A70304">
      <w:pPr>
        <w:pStyle w:val="ListParagraph"/>
        <w:numPr>
          <w:ilvl w:val="0"/>
          <w:numId w:val="31"/>
        </w:numPr>
        <w:jc w:val="both"/>
        <w:rPr>
          <w:lang w:val="en-US"/>
        </w:rPr>
      </w:pPr>
      <w:r w:rsidRPr="00900397">
        <w:rPr>
          <w:b/>
          <w:bCs/>
          <w:lang w:val="en-US"/>
        </w:rPr>
        <w:t>Alt-b:</w:t>
      </w:r>
      <w:r w:rsidRPr="00900397">
        <w:rPr>
          <w:lang w:val="en-US"/>
        </w:rPr>
        <w:t xml:space="preserve"> Determination based on the rules applied for a configured UL transmission</w:t>
      </w:r>
    </w:p>
    <w:p w14:paraId="40B879F1" w14:textId="1BC350F0" w:rsidR="00A70304" w:rsidRDefault="00A70304" w:rsidP="00A70304">
      <w:pPr>
        <w:jc w:val="both"/>
        <w:rPr>
          <w:lang w:val="en-US"/>
        </w:rPr>
      </w:pPr>
      <w:r>
        <w:rPr>
          <w:lang w:val="en-US"/>
        </w:rPr>
        <w:t xml:space="preserve">Alt-b may lead to complex specification impact to define rules on COT ownership and offers no flexibility.  In contrast Alt-a uses a COT ownership indicator which is simple to implement and offers scheduling flexibility to the gNB.  The COT ownership indicator can be </w:t>
      </w:r>
      <w:r w:rsidR="009D5E39">
        <w:rPr>
          <w:lang w:val="en-US"/>
        </w:rPr>
        <w:t xml:space="preserve">a </w:t>
      </w:r>
      <w:r>
        <w:rPr>
          <w:lang w:val="en-US"/>
        </w:rPr>
        <w:t xml:space="preserve">1 bit field or based on the existing </w:t>
      </w:r>
      <w:r w:rsidRPr="00F564ED">
        <w:rPr>
          <w:i/>
          <w:iCs/>
          <w:lang w:val="en-US"/>
        </w:rPr>
        <w:t>ChannelAccess-CPext</w:t>
      </w:r>
      <w:r w:rsidRPr="00A12EC7">
        <w:rPr>
          <w:lang w:val="en-US"/>
        </w:rPr>
        <w:t xml:space="preserve"> field</w:t>
      </w:r>
      <w:r>
        <w:rPr>
          <w:lang w:val="en-US"/>
        </w:rPr>
        <w:t xml:space="preserve"> in the DCI.  This DCI field should be configured when the UE is configured to initiate its own COT.</w:t>
      </w:r>
    </w:p>
    <w:p w14:paraId="002ADC96" w14:textId="04D05A9F" w:rsidR="00A70304" w:rsidRDefault="00A70304" w:rsidP="00A70304">
      <w:pPr>
        <w:jc w:val="both"/>
        <w:rPr>
          <w:b/>
          <w:bCs/>
          <w:lang w:val="en-US"/>
        </w:rPr>
      </w:pPr>
      <w:r w:rsidRPr="00F94081">
        <w:rPr>
          <w:b/>
          <w:bCs/>
          <w:lang w:val="en-US"/>
        </w:rPr>
        <w:t xml:space="preserve">Proposal </w:t>
      </w:r>
      <w:r w:rsidR="00611AD1">
        <w:rPr>
          <w:b/>
          <w:bCs/>
          <w:lang w:val="en-US"/>
        </w:rPr>
        <w:t>1</w:t>
      </w:r>
      <w:r w:rsidRPr="00F94081">
        <w:rPr>
          <w:b/>
          <w:bCs/>
          <w:lang w:val="en-US"/>
        </w:rPr>
        <w:t xml:space="preserve">: The UE determines the COT initiator based on an indication in the scheduling DCI.  </w:t>
      </w:r>
      <w:r>
        <w:rPr>
          <w:b/>
          <w:bCs/>
          <w:lang w:val="en-US"/>
        </w:rPr>
        <w:t xml:space="preserve">A </w:t>
      </w:r>
      <w:r w:rsidRPr="00F94081">
        <w:rPr>
          <w:b/>
          <w:bCs/>
          <w:lang w:val="en-US"/>
        </w:rPr>
        <w:t xml:space="preserve">UE that is configured to enable COT initiation is also configured with </w:t>
      </w:r>
      <w:r>
        <w:rPr>
          <w:b/>
          <w:bCs/>
          <w:lang w:val="en-US"/>
        </w:rPr>
        <w:t xml:space="preserve">a </w:t>
      </w:r>
      <w:r w:rsidRPr="00F94081">
        <w:rPr>
          <w:b/>
          <w:bCs/>
          <w:lang w:val="en-US"/>
        </w:rPr>
        <w:t>COT ownership indicator in the scheduling DCI</w:t>
      </w:r>
      <w:r w:rsidR="006F4B29">
        <w:rPr>
          <w:b/>
          <w:bCs/>
          <w:lang w:val="en-US"/>
        </w:rPr>
        <w:t xml:space="preserve"> (Alt-a)</w:t>
      </w:r>
      <w:r w:rsidRPr="00F94081">
        <w:rPr>
          <w:b/>
          <w:bCs/>
          <w:lang w:val="en-US"/>
        </w:rPr>
        <w:t>.</w:t>
      </w:r>
    </w:p>
    <w:p w14:paraId="61E490F5" w14:textId="4CF26772" w:rsidR="00611AD1" w:rsidRPr="00F94081" w:rsidRDefault="00611AD1" w:rsidP="00A70304">
      <w:pPr>
        <w:jc w:val="both"/>
        <w:rPr>
          <w:b/>
          <w:bCs/>
          <w:lang w:val="en-US"/>
        </w:rPr>
      </w:pPr>
      <w:r>
        <w:rPr>
          <w:b/>
          <w:bCs/>
          <w:lang w:val="en-US"/>
        </w:rPr>
        <w:t xml:space="preserve">Proposal 2: The COT ownership indicator should </w:t>
      </w:r>
      <w:r w:rsidRPr="006F4B29">
        <w:rPr>
          <w:b/>
          <w:bCs/>
          <w:i/>
          <w:iCs/>
          <w:lang w:val="en-US"/>
        </w:rPr>
        <w:t xml:space="preserve">not </w:t>
      </w:r>
      <w:r>
        <w:rPr>
          <w:b/>
          <w:bCs/>
          <w:lang w:val="en-US"/>
        </w:rPr>
        <w:t xml:space="preserve">be absent for </w:t>
      </w:r>
      <w:r w:rsidR="00E23D97">
        <w:rPr>
          <w:b/>
          <w:bCs/>
          <w:lang w:val="en-US"/>
        </w:rPr>
        <w:t xml:space="preserve">a </w:t>
      </w:r>
      <w:r>
        <w:rPr>
          <w:b/>
          <w:bCs/>
          <w:lang w:val="en-US"/>
        </w:rPr>
        <w:t>UE configured for COT initiation.</w:t>
      </w:r>
    </w:p>
    <w:p w14:paraId="075D054B" w14:textId="77777777" w:rsidR="00A70304" w:rsidRDefault="00A70304" w:rsidP="00A70304">
      <w:pPr>
        <w:rPr>
          <w:lang w:val="en-US"/>
        </w:rPr>
      </w:pPr>
    </w:p>
    <w:p w14:paraId="16A0B477" w14:textId="77777777" w:rsidR="00A70304" w:rsidRDefault="00A70304" w:rsidP="00A70304">
      <w:pPr>
        <w:pStyle w:val="Heading3"/>
        <w:numPr>
          <w:ilvl w:val="2"/>
          <w:numId w:val="5"/>
        </w:numPr>
        <w:rPr>
          <w:lang w:val="en-US"/>
        </w:rPr>
      </w:pPr>
      <w:r>
        <w:rPr>
          <w:lang w:val="en-US"/>
        </w:rPr>
        <w:t>COT Initiator – Configured Uplink Transmission</w:t>
      </w:r>
    </w:p>
    <w:p w14:paraId="2E37ED26" w14:textId="56D5E73A" w:rsidR="00A70304" w:rsidRPr="006E069C" w:rsidRDefault="00A70304" w:rsidP="00A70304">
      <w:pPr>
        <w:rPr>
          <w:rFonts w:eastAsia="MS Mincho"/>
          <w:bCs/>
          <w:lang w:val="en-US"/>
        </w:rPr>
      </w:pPr>
      <w:r w:rsidRPr="006E069C">
        <w:rPr>
          <w:rFonts w:eastAsia="MS Mincho"/>
          <w:bCs/>
          <w:lang w:val="en-US"/>
        </w:rPr>
        <w:t xml:space="preserve">For CG-PUSCH that starts at the UE’s FFP boundary, </w:t>
      </w:r>
      <w:r>
        <w:rPr>
          <w:rFonts w:eastAsia="MS Mincho"/>
          <w:bCs/>
          <w:lang w:val="en-US"/>
        </w:rPr>
        <w:t>the following two alternatives were considered in the previous meeting</w:t>
      </w:r>
      <w:r w:rsidRPr="006E069C">
        <w:rPr>
          <w:rFonts w:eastAsia="MS Mincho"/>
          <w:bCs/>
          <w:lang w:val="en-US"/>
        </w:rPr>
        <w:t xml:space="preserve"> for </w:t>
      </w:r>
      <w:r>
        <w:rPr>
          <w:rFonts w:eastAsia="MS Mincho"/>
          <w:bCs/>
          <w:lang w:val="en-US"/>
        </w:rPr>
        <w:t xml:space="preserve">determining </w:t>
      </w:r>
      <w:r w:rsidRPr="006E069C">
        <w:rPr>
          <w:rFonts w:eastAsia="MS Mincho"/>
          <w:bCs/>
          <w:lang w:val="en-US"/>
        </w:rPr>
        <w:t>whether the UE’s transmission is based on a UE initiated COT or gNB initiated COT</w:t>
      </w:r>
      <w:r>
        <w:rPr>
          <w:rFonts w:eastAsia="MS Mincho"/>
          <w:bCs/>
          <w:lang w:val="en-US"/>
        </w:rPr>
        <w:t xml:space="preserve"> [</w:t>
      </w:r>
      <w:r w:rsidR="000C0A74">
        <w:rPr>
          <w:rFonts w:eastAsia="MS Mincho"/>
          <w:bCs/>
          <w:lang w:val="en-US"/>
        </w:rPr>
        <w:t>1</w:t>
      </w:r>
      <w:r>
        <w:rPr>
          <w:rFonts w:eastAsia="MS Mincho"/>
          <w:bCs/>
          <w:lang w:val="en-US"/>
        </w:rPr>
        <w:t>]</w:t>
      </w:r>
      <w:r w:rsidRPr="006E069C">
        <w:rPr>
          <w:rFonts w:eastAsia="MS Mincho"/>
          <w:bCs/>
          <w:lang w:val="en-US"/>
        </w:rPr>
        <w:t>:</w:t>
      </w:r>
    </w:p>
    <w:p w14:paraId="329190AD" w14:textId="4274726C" w:rsidR="00A70304" w:rsidRPr="006E069C" w:rsidRDefault="00A70304" w:rsidP="00A70304">
      <w:pPr>
        <w:pStyle w:val="ListParagraph"/>
        <w:numPr>
          <w:ilvl w:val="0"/>
          <w:numId w:val="32"/>
        </w:numPr>
        <w:jc w:val="both"/>
        <w:rPr>
          <w:lang w:val="en-US"/>
        </w:rPr>
      </w:pPr>
      <w:r w:rsidRPr="006E069C">
        <w:rPr>
          <w:b/>
          <w:bCs/>
          <w:lang w:val="en-US"/>
        </w:rPr>
        <w:t>Alt-a:</w:t>
      </w:r>
      <w:r w:rsidRPr="006E069C">
        <w:rPr>
          <w:lang w:val="en-US"/>
        </w:rPr>
        <w:t xml:space="preserve"> If the transmission is confined within a gNB FFP before the idle period of that gNB FFP, and the UE has already determined that gNB </w:t>
      </w:r>
      <w:r w:rsidR="006F4B29">
        <w:rPr>
          <w:lang w:val="en-US"/>
        </w:rPr>
        <w:t>had</w:t>
      </w:r>
      <w:r w:rsidR="006F4B29" w:rsidRPr="006E069C">
        <w:rPr>
          <w:lang w:val="en-US"/>
        </w:rPr>
        <w:t xml:space="preserve"> </w:t>
      </w:r>
      <w:r w:rsidRPr="006E069C">
        <w:rPr>
          <w:lang w:val="en-US"/>
        </w:rPr>
        <w:t xml:space="preserve">initiated </w:t>
      </w:r>
      <w:r w:rsidR="006F4B29">
        <w:rPr>
          <w:lang w:val="en-US"/>
        </w:rPr>
        <w:t xml:space="preserve">a COT in </w:t>
      </w:r>
      <w:r w:rsidRPr="006E069C">
        <w:rPr>
          <w:lang w:val="en-US"/>
        </w:rPr>
        <w:t>that gNB FFP, UE assumes that the configured UL transmission corresponds to gNB-initiated COT. Otherwise, UE assumes that the configured UL transmission corresponds to UE-initiated COT</w:t>
      </w:r>
    </w:p>
    <w:p w14:paraId="15681215" w14:textId="77777777" w:rsidR="00A70304" w:rsidRPr="006E069C" w:rsidRDefault="00A70304" w:rsidP="00A70304">
      <w:pPr>
        <w:pStyle w:val="ListParagraph"/>
        <w:numPr>
          <w:ilvl w:val="0"/>
          <w:numId w:val="32"/>
        </w:numPr>
        <w:jc w:val="both"/>
        <w:rPr>
          <w:lang w:val="en-US"/>
        </w:rPr>
      </w:pPr>
      <w:r w:rsidRPr="006E069C">
        <w:rPr>
          <w:b/>
          <w:bCs/>
          <w:lang w:val="en-US"/>
        </w:rPr>
        <w:t>Alt-b:</w:t>
      </w:r>
      <w:r w:rsidRPr="006E069C">
        <w:rPr>
          <w:lang w:val="en-US"/>
        </w:rPr>
        <w:t xml:space="preserve"> The UE assumes that the configured UL transmission corresponds to UE-initiated COT.</w:t>
      </w:r>
    </w:p>
    <w:p w14:paraId="548A6790" w14:textId="77777777" w:rsidR="00A70304" w:rsidRDefault="00A70304" w:rsidP="00A70304">
      <w:pPr>
        <w:jc w:val="both"/>
        <w:rPr>
          <w:lang w:val="en-US"/>
        </w:rPr>
      </w:pPr>
    </w:p>
    <w:p w14:paraId="1F4DEE54" w14:textId="085662E5" w:rsidR="00A70304" w:rsidRDefault="00A70304" w:rsidP="00795E94">
      <w:pPr>
        <w:rPr>
          <w:rFonts w:eastAsia="MS Mincho"/>
          <w:bCs/>
          <w:lang w:val="en-US"/>
        </w:rPr>
      </w:pPr>
      <w:r>
        <w:rPr>
          <w:rFonts w:eastAsia="MS Mincho"/>
          <w:bCs/>
          <w:lang w:val="en-US"/>
        </w:rPr>
        <w:t>Alt-</w:t>
      </w:r>
      <w:r w:rsidR="00795E94">
        <w:rPr>
          <w:rFonts w:eastAsia="MS Mincho"/>
          <w:bCs/>
          <w:lang w:val="en-US"/>
        </w:rPr>
        <w:t>a</w:t>
      </w:r>
      <w:r>
        <w:rPr>
          <w:rFonts w:eastAsia="MS Mincho"/>
          <w:bCs/>
          <w:lang w:val="en-US"/>
        </w:rPr>
        <w:t xml:space="preserve"> </w:t>
      </w:r>
      <w:r w:rsidR="00795E94">
        <w:rPr>
          <w:rFonts w:eastAsia="MS Mincho"/>
          <w:bCs/>
          <w:lang w:val="en-US"/>
        </w:rPr>
        <w:t xml:space="preserve">provides scheduling flexibility for the gNB since the gNB can schedule over </w:t>
      </w:r>
      <w:r w:rsidR="00594D3D">
        <w:rPr>
          <w:rFonts w:eastAsia="MS Mincho"/>
          <w:bCs/>
          <w:lang w:val="en-US"/>
        </w:rPr>
        <w:t xml:space="preserve">the </w:t>
      </w:r>
      <w:r w:rsidR="00795E94">
        <w:rPr>
          <w:rFonts w:eastAsia="MS Mincho"/>
          <w:bCs/>
          <w:lang w:val="en-US"/>
        </w:rPr>
        <w:t>UE’s CC</w:t>
      </w:r>
      <w:r w:rsidR="00654406">
        <w:rPr>
          <w:rFonts w:eastAsia="MS Mincho"/>
          <w:bCs/>
          <w:lang w:val="en-US"/>
        </w:rPr>
        <w:t xml:space="preserve">A prior to the UE’s </w:t>
      </w:r>
      <w:r w:rsidR="009C0264">
        <w:rPr>
          <w:rFonts w:eastAsia="MS Mincho"/>
          <w:bCs/>
          <w:lang w:val="en-US"/>
        </w:rPr>
        <w:t>configured uplink</w:t>
      </w:r>
      <w:r w:rsidR="00654406">
        <w:rPr>
          <w:rFonts w:eastAsia="MS Mincho"/>
          <w:bCs/>
          <w:lang w:val="en-US"/>
        </w:rPr>
        <w:t xml:space="preserve"> transmission.  An example is shown in </w:t>
      </w:r>
      <w:r w:rsidR="00654406">
        <w:rPr>
          <w:rFonts w:eastAsia="MS Mincho"/>
          <w:bCs/>
          <w:lang w:val="en-US"/>
        </w:rPr>
        <w:fldChar w:fldCharType="begin"/>
      </w:r>
      <w:r w:rsidR="00654406">
        <w:rPr>
          <w:rFonts w:eastAsia="MS Mincho"/>
          <w:bCs/>
          <w:lang w:val="en-US"/>
        </w:rPr>
        <w:instrText xml:space="preserve"> REF _Ref71559914 \h </w:instrText>
      </w:r>
      <w:r w:rsidR="00654406">
        <w:rPr>
          <w:rFonts w:eastAsia="MS Mincho"/>
          <w:bCs/>
          <w:lang w:val="en-US"/>
        </w:rPr>
      </w:r>
      <w:r w:rsidR="00654406">
        <w:rPr>
          <w:rFonts w:eastAsia="MS Mincho"/>
          <w:bCs/>
          <w:lang w:val="en-US"/>
        </w:rPr>
        <w:fldChar w:fldCharType="separate"/>
      </w:r>
      <w:r w:rsidR="00654406">
        <w:t xml:space="preserve">Figure </w:t>
      </w:r>
      <w:r w:rsidR="00654406">
        <w:rPr>
          <w:noProof/>
        </w:rPr>
        <w:t>2</w:t>
      </w:r>
      <w:r w:rsidR="00654406">
        <w:rPr>
          <w:rFonts w:eastAsia="MS Mincho"/>
          <w:bCs/>
          <w:lang w:val="en-US"/>
        </w:rPr>
        <w:fldChar w:fldCharType="end"/>
      </w:r>
      <w:r w:rsidR="00654406">
        <w:rPr>
          <w:rFonts w:eastAsia="MS Mincho"/>
          <w:bCs/>
          <w:lang w:val="en-US"/>
        </w:rPr>
        <w:t xml:space="preserve">, where the gNB initiates a COT at time </w:t>
      </w:r>
      <w:r w:rsidR="00654406" w:rsidRPr="00654406">
        <w:rPr>
          <w:rFonts w:eastAsia="MS Mincho"/>
          <w:bCs/>
          <w:i/>
          <w:iCs/>
          <w:lang w:val="en-US"/>
        </w:rPr>
        <w:t>t</w:t>
      </w:r>
      <w:r w:rsidR="00654406" w:rsidRPr="00654406">
        <w:rPr>
          <w:rFonts w:eastAsia="MS Mincho"/>
          <w:bCs/>
          <w:vertAlign w:val="subscript"/>
          <w:lang w:val="en-US"/>
        </w:rPr>
        <w:t>3</w:t>
      </w:r>
      <w:r w:rsidR="00654406">
        <w:rPr>
          <w:rFonts w:eastAsia="MS Mincho"/>
          <w:bCs/>
          <w:lang w:val="en-US"/>
        </w:rPr>
        <w:t xml:space="preserve"> and schedules UE2 with a PDSCH that overlaps UE1’s CCA. </w:t>
      </w:r>
      <w:r>
        <w:rPr>
          <w:rFonts w:eastAsia="MS Mincho"/>
          <w:bCs/>
          <w:lang w:val="en-US"/>
        </w:rPr>
        <w:t xml:space="preserve"> </w:t>
      </w:r>
      <w:r w:rsidR="00654406">
        <w:rPr>
          <w:rFonts w:eastAsia="MS Mincho"/>
          <w:bCs/>
          <w:lang w:val="en-US"/>
        </w:rPr>
        <w:t xml:space="preserve">UE1 detecting that the gNB has initiated a COT can transmit its CG-PUSCH at time </w:t>
      </w:r>
      <w:r w:rsidR="00654406" w:rsidRPr="00654406">
        <w:rPr>
          <w:rFonts w:eastAsia="MS Mincho"/>
          <w:bCs/>
          <w:i/>
          <w:iCs/>
          <w:lang w:val="en-US"/>
        </w:rPr>
        <w:t>t</w:t>
      </w:r>
      <w:r w:rsidR="00654406" w:rsidRPr="00654406">
        <w:rPr>
          <w:rFonts w:eastAsia="MS Mincho"/>
          <w:bCs/>
          <w:vertAlign w:val="subscript"/>
          <w:lang w:val="en-US"/>
        </w:rPr>
        <w:t>5</w:t>
      </w:r>
      <w:r w:rsidR="00DF4D03">
        <w:rPr>
          <w:rFonts w:eastAsia="MS Mincho"/>
          <w:bCs/>
          <w:lang w:val="en-US"/>
        </w:rPr>
        <w:t xml:space="preserve"> by sharing the gNB’s COT.</w:t>
      </w:r>
      <w:r w:rsidR="00654406">
        <w:rPr>
          <w:rFonts w:eastAsia="MS Mincho"/>
          <w:bCs/>
          <w:lang w:val="en-US"/>
        </w:rPr>
        <w:t xml:space="preserve">  In Alt-b, since UE1 must always be the COT initiator, it would have to perform an LBT during its CCA</w:t>
      </w:r>
      <w:r w:rsidR="005C3C89">
        <w:rPr>
          <w:rFonts w:eastAsia="MS Mincho"/>
          <w:bCs/>
          <w:lang w:val="en-US"/>
        </w:rPr>
        <w:t xml:space="preserve"> </w:t>
      </w:r>
      <w:r w:rsidR="00654406">
        <w:rPr>
          <w:rFonts w:eastAsia="MS Mincho"/>
          <w:bCs/>
          <w:lang w:val="en-US"/>
        </w:rPr>
        <w:t xml:space="preserve">and in this example, it would fail the LBT </w:t>
      </w:r>
      <w:r w:rsidR="005C3C89">
        <w:rPr>
          <w:rFonts w:eastAsia="MS Mincho"/>
          <w:bCs/>
          <w:lang w:val="en-US"/>
        </w:rPr>
        <w:t xml:space="preserve">during the CCA phase between time </w:t>
      </w:r>
      <w:r w:rsidR="005C3C89" w:rsidRPr="005C3C89">
        <w:rPr>
          <w:rFonts w:eastAsia="MS Mincho"/>
          <w:bCs/>
          <w:i/>
          <w:iCs/>
          <w:lang w:val="en-US"/>
        </w:rPr>
        <w:t>t</w:t>
      </w:r>
      <w:r w:rsidR="005C3C89" w:rsidRPr="005C3C89">
        <w:rPr>
          <w:rFonts w:eastAsia="MS Mincho"/>
          <w:bCs/>
          <w:vertAlign w:val="subscript"/>
          <w:lang w:val="en-US"/>
        </w:rPr>
        <w:t>5</w:t>
      </w:r>
      <w:r w:rsidR="005C3C89">
        <w:rPr>
          <w:rFonts w:eastAsia="MS Mincho"/>
          <w:bCs/>
          <w:lang w:val="en-US"/>
        </w:rPr>
        <w:t xml:space="preserve"> to </w:t>
      </w:r>
      <w:r w:rsidR="005C3C89" w:rsidRPr="005C3C89">
        <w:rPr>
          <w:rFonts w:eastAsia="MS Mincho"/>
          <w:bCs/>
          <w:i/>
          <w:iCs/>
          <w:lang w:val="en-US"/>
        </w:rPr>
        <w:t>t</w:t>
      </w:r>
      <w:r w:rsidR="005C3C89" w:rsidRPr="005C3C89">
        <w:rPr>
          <w:rFonts w:eastAsia="MS Mincho"/>
          <w:bCs/>
          <w:vertAlign w:val="subscript"/>
          <w:lang w:val="en-US"/>
        </w:rPr>
        <w:t>6</w:t>
      </w:r>
      <w:r w:rsidR="005C3C89">
        <w:rPr>
          <w:rFonts w:eastAsia="MS Mincho"/>
          <w:bCs/>
          <w:lang w:val="en-US"/>
        </w:rPr>
        <w:t xml:space="preserve">, </w:t>
      </w:r>
      <w:r w:rsidR="00654406">
        <w:rPr>
          <w:rFonts w:eastAsia="MS Mincho"/>
          <w:bCs/>
          <w:lang w:val="en-US"/>
        </w:rPr>
        <w:t xml:space="preserve">thereby preventing it from transmitting its CG-PUSCH.  </w:t>
      </w:r>
      <w:r w:rsidR="005C3C89">
        <w:rPr>
          <w:rFonts w:eastAsia="MS Mincho"/>
          <w:bCs/>
          <w:lang w:val="en-US"/>
        </w:rPr>
        <w:t xml:space="preserve">In order to provide UE1 the opportunity to transmit its CG-PUSCH, the gNB would </w:t>
      </w:r>
      <w:r w:rsidR="00075598">
        <w:rPr>
          <w:rFonts w:eastAsia="MS Mincho"/>
          <w:bCs/>
          <w:lang w:val="en-US"/>
        </w:rPr>
        <w:t xml:space="preserve">have to </w:t>
      </w:r>
      <w:r w:rsidR="005C3C89">
        <w:rPr>
          <w:rFonts w:eastAsia="MS Mincho"/>
          <w:bCs/>
          <w:lang w:val="en-US"/>
        </w:rPr>
        <w:t xml:space="preserve">not transmit UE2’s PDSCH thereby limiting its scheduling.  That is the gNB would have to refrain from transmitting during UE1’s CCA even </w:t>
      </w:r>
      <w:r w:rsidR="00DF4D03">
        <w:rPr>
          <w:rFonts w:eastAsia="MS Mincho"/>
          <w:bCs/>
          <w:lang w:val="en-US"/>
        </w:rPr>
        <w:t>though</w:t>
      </w:r>
      <w:r w:rsidR="005C3C89">
        <w:rPr>
          <w:rFonts w:eastAsia="MS Mincho"/>
          <w:bCs/>
          <w:lang w:val="en-US"/>
        </w:rPr>
        <w:t xml:space="preserve"> it does not know whether the UE would use the CG-PUSCH resource between time </w:t>
      </w:r>
      <w:r w:rsidR="005C3C89" w:rsidRPr="005C3C89">
        <w:rPr>
          <w:rFonts w:eastAsia="MS Mincho"/>
          <w:bCs/>
          <w:i/>
          <w:iCs/>
          <w:lang w:val="en-US"/>
        </w:rPr>
        <w:t>t</w:t>
      </w:r>
      <w:r w:rsidR="005C3C89" w:rsidRPr="005C3C89">
        <w:rPr>
          <w:rFonts w:eastAsia="MS Mincho"/>
          <w:bCs/>
          <w:vertAlign w:val="subscript"/>
          <w:lang w:val="en-US"/>
        </w:rPr>
        <w:t>6</w:t>
      </w:r>
      <w:r w:rsidR="005C3C89">
        <w:rPr>
          <w:rFonts w:eastAsia="MS Mincho"/>
          <w:bCs/>
          <w:lang w:val="en-US"/>
        </w:rPr>
        <w:t xml:space="preserve"> to </w:t>
      </w:r>
      <w:r w:rsidR="005C3C89" w:rsidRPr="005C3C89">
        <w:rPr>
          <w:rFonts w:eastAsia="MS Mincho"/>
          <w:bCs/>
          <w:i/>
          <w:iCs/>
          <w:lang w:val="en-US"/>
        </w:rPr>
        <w:t>t</w:t>
      </w:r>
      <w:r w:rsidR="005C3C89" w:rsidRPr="005C3C89">
        <w:rPr>
          <w:rFonts w:eastAsia="MS Mincho"/>
          <w:bCs/>
          <w:vertAlign w:val="subscript"/>
          <w:lang w:val="en-US"/>
        </w:rPr>
        <w:t>7</w:t>
      </w:r>
      <w:r w:rsidR="005C3C89">
        <w:rPr>
          <w:rFonts w:eastAsia="MS Mincho"/>
          <w:bCs/>
          <w:lang w:val="en-US"/>
        </w:rPr>
        <w:t>.</w:t>
      </w:r>
      <w:r w:rsidR="00654406">
        <w:rPr>
          <w:rFonts w:eastAsia="MS Mincho"/>
          <w:bCs/>
          <w:lang w:val="en-US"/>
        </w:rPr>
        <w:t xml:space="preserve"> </w:t>
      </w:r>
      <w:r w:rsidR="005C3C89">
        <w:rPr>
          <w:rFonts w:eastAsia="MS Mincho"/>
          <w:bCs/>
          <w:lang w:val="en-US"/>
        </w:rPr>
        <w:t>This limits the gNB’s scheduling opportunity.</w:t>
      </w:r>
    </w:p>
    <w:p w14:paraId="593A0023" w14:textId="3400A374" w:rsidR="005C3C89" w:rsidRPr="005C3C89" w:rsidRDefault="005C3C89" w:rsidP="00795E94">
      <w:pPr>
        <w:rPr>
          <w:rFonts w:eastAsia="MS Mincho"/>
          <w:b/>
          <w:lang w:val="en-US"/>
        </w:rPr>
      </w:pPr>
      <w:r w:rsidRPr="005C3C89">
        <w:rPr>
          <w:rFonts w:eastAsia="MS Mincho"/>
          <w:b/>
          <w:lang w:val="en-US"/>
        </w:rPr>
        <w:t>Observation 1: If the UE always assume</w:t>
      </w:r>
      <w:r w:rsidR="00075598">
        <w:rPr>
          <w:rFonts w:eastAsia="MS Mincho"/>
          <w:b/>
          <w:lang w:val="en-US"/>
        </w:rPr>
        <w:t>s</w:t>
      </w:r>
      <w:r w:rsidRPr="005C3C89">
        <w:rPr>
          <w:rFonts w:eastAsia="MS Mincho"/>
          <w:b/>
          <w:lang w:val="en-US"/>
        </w:rPr>
        <w:t xml:space="preserve"> that it is the COT initiator for a configured uplink transmission that starts at the UE’s FFP (i.e. Alt-b), the gNB would have to refrain from transmitting during the UE’s CCA despite not knowing whether the UE would perform an uplink transmission.  This limits the gNB scheduling flexibility.</w:t>
      </w:r>
    </w:p>
    <w:p w14:paraId="0BBCCDB5" w14:textId="2B970A02" w:rsidR="00A70304" w:rsidRDefault="00A70304" w:rsidP="00A70304">
      <w:pPr>
        <w:rPr>
          <w:rFonts w:eastAsia="MS Mincho"/>
          <w:bCs/>
          <w:lang w:val="en-US"/>
        </w:rPr>
      </w:pPr>
    </w:p>
    <w:p w14:paraId="21485E41" w14:textId="5B6B5F0C" w:rsidR="00795E94" w:rsidRDefault="00654406" w:rsidP="00795E94">
      <w:pPr>
        <w:keepNext/>
        <w:jc w:val="center"/>
      </w:pPr>
      <w:r>
        <w:rPr>
          <w:noProof/>
        </w:rPr>
        <w:lastRenderedPageBreak/>
        <w:drawing>
          <wp:inline distT="0" distB="0" distL="0" distR="0" wp14:anchorId="0C543CAC" wp14:editId="11E00D50">
            <wp:extent cx="5791835" cy="25666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1835" cy="2566670"/>
                    </a:xfrm>
                    <a:prstGeom prst="rect">
                      <a:avLst/>
                    </a:prstGeom>
                    <a:noFill/>
                  </pic:spPr>
                </pic:pic>
              </a:graphicData>
            </a:graphic>
          </wp:inline>
        </w:drawing>
      </w:r>
    </w:p>
    <w:p w14:paraId="5C67B1C9" w14:textId="5B2E5091" w:rsidR="00795E94" w:rsidRDefault="00795E94" w:rsidP="00795E94">
      <w:pPr>
        <w:pStyle w:val="Caption"/>
        <w:jc w:val="center"/>
        <w:rPr>
          <w:rFonts w:eastAsia="MS Mincho"/>
          <w:bCs/>
          <w:lang w:val="en-US"/>
        </w:rPr>
      </w:pPr>
      <w:bookmarkStart w:id="4" w:name="_Ref71559914"/>
      <w:r>
        <w:t xml:space="preserve">Figure </w:t>
      </w:r>
      <w:r w:rsidR="00C551A0">
        <w:fldChar w:fldCharType="begin"/>
      </w:r>
      <w:r w:rsidR="00C551A0">
        <w:instrText xml:space="preserve"> SEQ Figure \* ARABIC </w:instrText>
      </w:r>
      <w:r w:rsidR="00C551A0">
        <w:fldChar w:fldCharType="separate"/>
      </w:r>
      <w:r>
        <w:rPr>
          <w:noProof/>
        </w:rPr>
        <w:t>2</w:t>
      </w:r>
      <w:r w:rsidR="00C551A0">
        <w:rPr>
          <w:noProof/>
        </w:rPr>
        <w:fldChar w:fldCharType="end"/>
      </w:r>
      <w:bookmarkEnd w:id="4"/>
      <w:r>
        <w:t>: gNB schedules over UE's CCA</w:t>
      </w:r>
    </w:p>
    <w:p w14:paraId="07F554F7" w14:textId="69C930CA" w:rsidR="00795E94" w:rsidRDefault="00795E94" w:rsidP="00A70304">
      <w:pPr>
        <w:rPr>
          <w:rFonts w:eastAsia="MS Mincho"/>
          <w:bCs/>
          <w:lang w:val="en-US"/>
        </w:rPr>
      </w:pPr>
    </w:p>
    <w:p w14:paraId="6661A3E6" w14:textId="502854F1" w:rsidR="00795E94" w:rsidRDefault="005C3C89" w:rsidP="00A70304">
      <w:pPr>
        <w:rPr>
          <w:rFonts w:eastAsia="MS Mincho"/>
          <w:bCs/>
          <w:lang w:val="en-US"/>
        </w:rPr>
      </w:pPr>
      <w:r>
        <w:rPr>
          <w:rFonts w:eastAsia="MS Mincho"/>
          <w:bCs/>
          <w:lang w:val="en-US"/>
        </w:rPr>
        <w:t>It was argued that Alt-a waste</w:t>
      </w:r>
      <w:r w:rsidR="00B35360">
        <w:rPr>
          <w:rFonts w:eastAsia="MS Mincho"/>
          <w:bCs/>
          <w:lang w:val="en-US"/>
        </w:rPr>
        <w:t>s</w:t>
      </w:r>
      <w:r>
        <w:rPr>
          <w:rFonts w:eastAsia="MS Mincho"/>
          <w:bCs/>
          <w:lang w:val="en-US"/>
        </w:rPr>
        <w:t xml:space="preserve"> UE power compared to Alt-b as the UE must always detect whether the gNB has initiated a COT.  Since the UE has to perform LBT in order to initiate a COT for its configured uplink transmission in Alt-b</w:t>
      </w:r>
      <w:r w:rsidR="00DF4D03">
        <w:rPr>
          <w:rFonts w:eastAsia="MS Mincho"/>
          <w:bCs/>
          <w:lang w:val="en-US"/>
        </w:rPr>
        <w:t xml:space="preserve"> (i.e. performing detection)</w:t>
      </w:r>
      <w:r>
        <w:rPr>
          <w:rFonts w:eastAsia="MS Mincho"/>
          <w:bCs/>
          <w:lang w:val="en-US"/>
        </w:rPr>
        <w:t>, the power saving in Alt-b is marginal.</w:t>
      </w:r>
      <w:r w:rsidR="00D56FDC">
        <w:rPr>
          <w:rFonts w:eastAsia="MS Mincho"/>
          <w:bCs/>
          <w:lang w:val="en-US"/>
        </w:rPr>
        <w:t xml:space="preserve">  This </w:t>
      </w:r>
      <w:r w:rsidR="00DF4D03">
        <w:rPr>
          <w:rFonts w:eastAsia="MS Mincho"/>
          <w:bCs/>
          <w:lang w:val="en-US"/>
        </w:rPr>
        <w:t xml:space="preserve">marginal power saving </w:t>
      </w:r>
      <w:r w:rsidR="00D56FDC">
        <w:rPr>
          <w:rFonts w:eastAsia="MS Mincho"/>
          <w:bCs/>
          <w:lang w:val="en-US"/>
        </w:rPr>
        <w:t>is not worth limiting the gNB’s scheduling flexibility.</w:t>
      </w:r>
    </w:p>
    <w:p w14:paraId="50BE1E45" w14:textId="53B08875" w:rsidR="005C3C89" w:rsidRPr="00D56FDC" w:rsidRDefault="005C3C89" w:rsidP="00A70304">
      <w:pPr>
        <w:rPr>
          <w:rFonts w:eastAsia="MS Mincho"/>
          <w:b/>
          <w:lang w:val="en-US"/>
        </w:rPr>
      </w:pPr>
      <w:r w:rsidRPr="00D56FDC">
        <w:rPr>
          <w:rFonts w:eastAsia="MS Mincho"/>
          <w:b/>
          <w:lang w:val="en-US"/>
        </w:rPr>
        <w:t xml:space="preserve">Observation 2: The UE power </w:t>
      </w:r>
      <w:r w:rsidR="00D56FDC" w:rsidRPr="00D56FDC">
        <w:rPr>
          <w:rFonts w:eastAsia="MS Mincho"/>
          <w:b/>
          <w:lang w:val="en-US"/>
        </w:rPr>
        <w:t>saving in not detecting whether gNB has initiated a COT in the case where UE always assume</w:t>
      </w:r>
      <w:r w:rsidR="00C11201">
        <w:rPr>
          <w:rFonts w:eastAsia="MS Mincho"/>
          <w:b/>
          <w:lang w:val="en-US"/>
        </w:rPr>
        <w:t>s</w:t>
      </w:r>
      <w:r w:rsidR="00D56FDC" w:rsidRPr="00D56FDC">
        <w:rPr>
          <w:rFonts w:eastAsia="MS Mincho"/>
          <w:b/>
          <w:lang w:val="en-US"/>
        </w:rPr>
        <w:t xml:space="preserve"> it is the COT initiator for a configured uplink transmission that starts at the UE’s FFP (i.e. Alt-b), is marginal.</w:t>
      </w:r>
    </w:p>
    <w:p w14:paraId="499F7355" w14:textId="77777777" w:rsidR="006F4B29" w:rsidRDefault="006F4B29" w:rsidP="00A70304">
      <w:pPr>
        <w:rPr>
          <w:rFonts w:eastAsia="MS Mincho"/>
          <w:b/>
          <w:lang w:val="en-US"/>
        </w:rPr>
      </w:pPr>
    </w:p>
    <w:p w14:paraId="652C4D47" w14:textId="7D3732A9" w:rsidR="00A70304" w:rsidRPr="009A251D" w:rsidRDefault="00A70304" w:rsidP="00A70304">
      <w:pPr>
        <w:rPr>
          <w:rFonts w:eastAsia="MS Mincho"/>
          <w:b/>
          <w:lang w:val="en-US"/>
        </w:rPr>
      </w:pPr>
      <w:bookmarkStart w:id="5" w:name="_GoBack"/>
      <w:bookmarkEnd w:id="5"/>
      <w:r w:rsidRPr="009A251D">
        <w:rPr>
          <w:rFonts w:eastAsia="MS Mincho"/>
          <w:b/>
          <w:lang w:val="en-US"/>
        </w:rPr>
        <w:t>Proposal 3: For a configured UL transmission that is aligned with a UE FFP boundary and ends before the idle period of that UE FFP, the COT initiator is determined as follows:</w:t>
      </w:r>
    </w:p>
    <w:p w14:paraId="6F9D834B" w14:textId="751C8D81" w:rsidR="00A70304" w:rsidRPr="007606B4" w:rsidRDefault="00A70304" w:rsidP="00A70304">
      <w:pPr>
        <w:pStyle w:val="ListParagraph"/>
        <w:numPr>
          <w:ilvl w:val="0"/>
          <w:numId w:val="33"/>
        </w:numPr>
        <w:rPr>
          <w:rFonts w:eastAsia="MS Mincho"/>
          <w:b/>
          <w:lang w:val="en-US"/>
        </w:rPr>
      </w:pPr>
      <w:r w:rsidRPr="007606B4">
        <w:rPr>
          <w:rFonts w:eastAsia="MS Mincho"/>
          <w:b/>
          <w:lang w:val="en-US"/>
        </w:rPr>
        <w:t xml:space="preserve">If the transmission is confined within a gNB FFP before the idle period of that gNB FFP, and the UE has already determined that </w:t>
      </w:r>
      <w:r w:rsidR="006F4B29">
        <w:rPr>
          <w:rFonts w:eastAsia="MS Mincho"/>
          <w:b/>
          <w:lang w:val="en-US"/>
        </w:rPr>
        <w:t xml:space="preserve">the </w:t>
      </w:r>
      <w:r w:rsidRPr="007606B4">
        <w:rPr>
          <w:rFonts w:eastAsia="MS Mincho"/>
          <w:b/>
          <w:lang w:val="en-US"/>
        </w:rPr>
        <w:t xml:space="preserve">gNB </w:t>
      </w:r>
      <w:r w:rsidR="006F4B29">
        <w:rPr>
          <w:rFonts w:eastAsia="MS Mincho"/>
          <w:b/>
          <w:lang w:val="en-US"/>
        </w:rPr>
        <w:t>had</w:t>
      </w:r>
      <w:r w:rsidRPr="007606B4">
        <w:rPr>
          <w:rFonts w:eastAsia="MS Mincho"/>
          <w:b/>
          <w:lang w:val="en-US"/>
        </w:rPr>
        <w:t xml:space="preserve"> initiated </w:t>
      </w:r>
      <w:r w:rsidR="006F4B29">
        <w:rPr>
          <w:rFonts w:eastAsia="MS Mincho"/>
          <w:b/>
          <w:lang w:val="en-US"/>
        </w:rPr>
        <w:t xml:space="preserve">a COT in </w:t>
      </w:r>
      <w:r w:rsidRPr="007606B4">
        <w:rPr>
          <w:rFonts w:eastAsia="MS Mincho"/>
          <w:b/>
          <w:lang w:val="en-US"/>
        </w:rPr>
        <w:t>that gNB FFP, UE assumes that the configured UL transmission corresponds to gNB-initiated COT. Otherwise, UE assumes that the configured UL transmission corresponds to UE-initiated COT</w:t>
      </w:r>
      <w:r w:rsidR="006F4B29">
        <w:rPr>
          <w:rFonts w:eastAsia="MS Mincho"/>
          <w:b/>
          <w:lang w:val="en-US"/>
        </w:rPr>
        <w:t xml:space="preserve"> (Alt-a)</w:t>
      </w:r>
    </w:p>
    <w:p w14:paraId="08C2C0AC" w14:textId="77777777" w:rsidR="00A70304" w:rsidRDefault="00A70304" w:rsidP="00A70304">
      <w:pPr>
        <w:jc w:val="both"/>
        <w:rPr>
          <w:lang w:val="en-US"/>
        </w:rPr>
      </w:pPr>
    </w:p>
    <w:p w14:paraId="635BBFA3" w14:textId="0F2EE077" w:rsidR="003A1518" w:rsidRDefault="003A1518" w:rsidP="003A1518">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CG-PUSCH Harmonisation</w:t>
      </w:r>
    </w:p>
    <w:p w14:paraId="473B111B" w14:textId="095B91F8" w:rsidR="001A190B" w:rsidRDefault="003A1518" w:rsidP="003A1518">
      <w:pPr>
        <w:rPr>
          <w:lang w:val="en-US"/>
        </w:rPr>
      </w:pPr>
      <w:r>
        <w:rPr>
          <w:lang w:val="en-US"/>
        </w:rPr>
        <w:t>In the previous meeting</w:t>
      </w:r>
      <w:r w:rsidR="00A457B6">
        <w:rPr>
          <w:lang w:val="en-US"/>
        </w:rPr>
        <w:t>, the number of options on CG-PUSCH harmonization was narrow</w:t>
      </w:r>
      <w:r w:rsidR="00575310">
        <w:rPr>
          <w:lang w:val="en-US"/>
        </w:rPr>
        <w:t>ed</w:t>
      </w:r>
      <w:r w:rsidR="00A457B6">
        <w:rPr>
          <w:lang w:val="en-US"/>
        </w:rPr>
        <w:t xml:space="preserve"> down to the following 2 options:</w:t>
      </w:r>
    </w:p>
    <w:p w14:paraId="38799F74" w14:textId="7EB19966" w:rsidR="00A457B6" w:rsidRPr="00A457B6" w:rsidRDefault="00A457B6" w:rsidP="00A457B6">
      <w:pPr>
        <w:pStyle w:val="ListParagraph"/>
        <w:numPr>
          <w:ilvl w:val="0"/>
          <w:numId w:val="33"/>
        </w:numPr>
        <w:rPr>
          <w:lang w:val="en-US"/>
        </w:rPr>
      </w:pPr>
      <w:r w:rsidRPr="00A457B6">
        <w:rPr>
          <w:b/>
          <w:bCs/>
          <w:lang w:val="en-US"/>
        </w:rPr>
        <w:t>Option 1:</w:t>
      </w:r>
      <w:r w:rsidRPr="00A457B6">
        <w:rPr>
          <w:lang w:val="en-US"/>
        </w:rPr>
        <w:t xml:space="preserve"> Both “CG-UCI based procedures” and “CG-DFI based procedures” are enabled or disabled for unlicensed using one RRC parameter i.e. </w:t>
      </w:r>
      <w:r w:rsidRPr="00A457B6">
        <w:rPr>
          <w:i/>
          <w:iCs/>
          <w:lang w:val="en-US"/>
        </w:rPr>
        <w:t>cg-RetransmissionTimer-r16</w:t>
      </w:r>
      <w:r w:rsidRPr="00A457B6">
        <w:rPr>
          <w:lang w:val="en-US"/>
        </w:rPr>
        <w:t>.</w:t>
      </w:r>
    </w:p>
    <w:p w14:paraId="47037FB6" w14:textId="1FA33FDE" w:rsidR="00A457B6" w:rsidRPr="00A457B6" w:rsidRDefault="00A457B6" w:rsidP="00A457B6">
      <w:pPr>
        <w:pStyle w:val="ListParagraph"/>
        <w:numPr>
          <w:ilvl w:val="0"/>
          <w:numId w:val="33"/>
        </w:numPr>
        <w:rPr>
          <w:lang w:val="en-US"/>
        </w:rPr>
      </w:pPr>
      <w:r w:rsidRPr="00A457B6">
        <w:rPr>
          <w:b/>
          <w:bCs/>
          <w:lang w:val="en-US"/>
        </w:rPr>
        <w:t>Option 2-a:</w:t>
      </w:r>
      <w:r w:rsidRPr="00A457B6">
        <w:rPr>
          <w:lang w:val="en-US"/>
        </w:rPr>
        <w:t xml:space="preserve"> “CG-UCI based procedures” and “CG-DFI based procedures” are independently enabled or disabled for unlicensed using respective RRC parameter, i.e. new parameter X and </w:t>
      </w:r>
      <w:r w:rsidRPr="00A457B6">
        <w:rPr>
          <w:i/>
          <w:iCs/>
          <w:lang w:val="en-US"/>
        </w:rPr>
        <w:t>cg-RetransmissionTimer-r16</w:t>
      </w:r>
      <w:r w:rsidRPr="00A457B6">
        <w:rPr>
          <w:lang w:val="en-US"/>
        </w:rPr>
        <w:t>, respectively.</w:t>
      </w:r>
    </w:p>
    <w:p w14:paraId="06F72AA0" w14:textId="77777777" w:rsidR="00A457B6" w:rsidRDefault="00A457B6" w:rsidP="003A1518">
      <w:pPr>
        <w:rPr>
          <w:lang w:val="en-US"/>
        </w:rPr>
      </w:pPr>
    </w:p>
    <w:p w14:paraId="0A994BF5" w14:textId="5A6D2A3E" w:rsidR="00A457B6" w:rsidRDefault="00A457B6" w:rsidP="00A457B6">
      <w:pPr>
        <w:spacing w:after="0"/>
        <w:rPr>
          <w:color w:val="000000"/>
        </w:rPr>
      </w:pPr>
      <w:r>
        <w:t>Option 1 restricts the UE to use either the NR-U mechanism or URLLC (i.e. licensed band) mechanism for CG-PUSCH.  Some features in NR-U can be beneficial to URLLC for example CG-DFI can be used for early termination of repetitions for URLLC without having to configure CG-UCI.  Hence, we prefer a more flexible approach</w:t>
      </w:r>
      <w:r w:rsidR="009C0264">
        <w:t>, which is offered in Option 2-a</w:t>
      </w:r>
      <w:r>
        <w:rPr>
          <w:color w:val="000000"/>
        </w:rPr>
        <w:t>.</w:t>
      </w:r>
    </w:p>
    <w:p w14:paraId="3603B11E" w14:textId="77777777" w:rsidR="00A457B6" w:rsidRDefault="00A457B6" w:rsidP="00A457B6">
      <w:pPr>
        <w:spacing w:after="0"/>
        <w:ind w:left="360"/>
        <w:rPr>
          <w:color w:val="000000"/>
        </w:rPr>
      </w:pPr>
    </w:p>
    <w:p w14:paraId="46AEAA2D" w14:textId="036DA6CD" w:rsidR="00A457B6" w:rsidRPr="00012AC9" w:rsidRDefault="00A457B6" w:rsidP="00A457B6">
      <w:pPr>
        <w:spacing w:after="0"/>
        <w:rPr>
          <w:b/>
          <w:bCs/>
          <w:color w:val="000000"/>
        </w:rPr>
      </w:pPr>
      <w:r w:rsidRPr="00012AC9">
        <w:rPr>
          <w:b/>
          <w:bCs/>
          <w:color w:val="000000"/>
        </w:rPr>
        <w:lastRenderedPageBreak/>
        <w:t xml:space="preserve">Proposal </w:t>
      </w:r>
      <w:r w:rsidR="009C0264">
        <w:rPr>
          <w:b/>
          <w:bCs/>
          <w:color w:val="000000"/>
        </w:rPr>
        <w:t>4</w:t>
      </w:r>
      <w:r w:rsidRPr="00012AC9">
        <w:rPr>
          <w:b/>
          <w:bCs/>
          <w:color w:val="000000"/>
        </w:rPr>
        <w:t xml:space="preserve">: </w:t>
      </w:r>
      <w:r w:rsidR="009C0264" w:rsidRPr="009C0264">
        <w:rPr>
          <w:b/>
          <w:bCs/>
          <w:lang w:val="en-US"/>
        </w:rPr>
        <w:t xml:space="preserve">“CG-UCI based procedures” and “CG-DFI based procedures” are independently enabled or disabled for unlicensed using respective RRC parameter, i.e. new parameter X and </w:t>
      </w:r>
      <w:r w:rsidR="009C0264" w:rsidRPr="009C0264">
        <w:rPr>
          <w:b/>
          <w:bCs/>
          <w:i/>
          <w:iCs/>
          <w:lang w:val="en-US"/>
        </w:rPr>
        <w:t>cg-RetransmissionTimer-r16</w:t>
      </w:r>
      <w:r w:rsidR="009C0264" w:rsidRPr="009C0264">
        <w:rPr>
          <w:b/>
          <w:bCs/>
          <w:lang w:val="en-US"/>
        </w:rPr>
        <w:t>, respectively</w:t>
      </w:r>
      <w:r w:rsidRPr="009C0264">
        <w:rPr>
          <w:b/>
          <w:bCs/>
          <w:color w:val="000000"/>
        </w:rPr>
        <w:t>.</w:t>
      </w:r>
      <w:r w:rsidR="009C0264">
        <w:rPr>
          <w:b/>
          <w:bCs/>
          <w:color w:val="000000"/>
        </w:rPr>
        <w:t xml:space="preserve"> (i.e. Option 2-a)</w:t>
      </w:r>
    </w:p>
    <w:p w14:paraId="323328EA" w14:textId="77777777" w:rsidR="000A0861" w:rsidRPr="00FF0132" w:rsidRDefault="000A0861" w:rsidP="004D1ED0">
      <w:pPr>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62E70B3" w:rsidR="0081222A" w:rsidRDefault="00855F39" w:rsidP="006E1D27">
      <w:pPr>
        <w:rPr>
          <w:rFonts w:eastAsia="MS Mincho"/>
          <w:b/>
          <w:lang w:val="en-US"/>
        </w:rPr>
      </w:pPr>
      <w:r>
        <w:t>In this contribution</w:t>
      </w:r>
      <w:r w:rsidR="00BD2B36">
        <w:t>,</w:t>
      </w:r>
      <w:r>
        <w:t xml:space="preserve"> we discuss </w:t>
      </w:r>
      <w:r w:rsidR="00EA2359">
        <w:t xml:space="preserve">some </w:t>
      </w:r>
      <w:r w:rsidR="009C0264">
        <w:t>issues on unlicensed URLLC operations</w:t>
      </w:r>
      <w:r w:rsidR="00EA2359">
        <w:t>.  We observe the following</w:t>
      </w:r>
      <w:r w:rsidR="00483B30">
        <w:t>:</w:t>
      </w:r>
      <w:r w:rsidR="0081222A" w:rsidRPr="00503C98">
        <w:rPr>
          <w:rFonts w:eastAsia="MS Mincho"/>
          <w:b/>
          <w:lang w:val="en-US"/>
        </w:rPr>
        <w:t xml:space="preserve"> </w:t>
      </w:r>
    </w:p>
    <w:p w14:paraId="25E5DA5A" w14:textId="77777777" w:rsidR="006F4B29" w:rsidRPr="005C3C89" w:rsidRDefault="006F4B29" w:rsidP="006F4B29">
      <w:pPr>
        <w:rPr>
          <w:rFonts w:eastAsia="MS Mincho"/>
          <w:b/>
          <w:lang w:val="en-US"/>
        </w:rPr>
      </w:pPr>
      <w:r w:rsidRPr="005C3C89">
        <w:rPr>
          <w:rFonts w:eastAsia="MS Mincho"/>
          <w:b/>
          <w:lang w:val="en-US"/>
        </w:rPr>
        <w:t>Observation 1: If the UE always assume</w:t>
      </w:r>
      <w:r>
        <w:rPr>
          <w:rFonts w:eastAsia="MS Mincho"/>
          <w:b/>
          <w:lang w:val="en-US"/>
        </w:rPr>
        <w:t>s</w:t>
      </w:r>
      <w:r w:rsidRPr="005C3C89">
        <w:rPr>
          <w:rFonts w:eastAsia="MS Mincho"/>
          <w:b/>
          <w:lang w:val="en-US"/>
        </w:rPr>
        <w:t xml:space="preserve"> that it is the COT initiator for a configured uplink transmission that starts at the UE’s FFP (i.e. Alt-b), the gNB would have to refrain from transmitting during the UE’s CCA despite not knowing whether the UE would perform an uplink transmission.  This limits the gNB scheduling flexibility.</w:t>
      </w:r>
    </w:p>
    <w:p w14:paraId="73C179E2" w14:textId="77777777" w:rsidR="006F4B29" w:rsidRPr="00D56FDC" w:rsidRDefault="006F4B29" w:rsidP="006F4B29">
      <w:pPr>
        <w:rPr>
          <w:rFonts w:eastAsia="MS Mincho"/>
          <w:b/>
          <w:lang w:val="en-US"/>
        </w:rPr>
      </w:pPr>
      <w:r w:rsidRPr="00D56FDC">
        <w:rPr>
          <w:rFonts w:eastAsia="MS Mincho"/>
          <w:b/>
          <w:lang w:val="en-US"/>
        </w:rPr>
        <w:t>Observation 2: The UE power saving in not detecting whether gNB has initiated a COT in the case where UE always assume</w:t>
      </w:r>
      <w:r>
        <w:rPr>
          <w:rFonts w:eastAsia="MS Mincho"/>
          <w:b/>
          <w:lang w:val="en-US"/>
        </w:rPr>
        <w:t>s</w:t>
      </w:r>
      <w:r w:rsidRPr="00D56FDC">
        <w:rPr>
          <w:rFonts w:eastAsia="MS Mincho"/>
          <w:b/>
          <w:lang w:val="en-US"/>
        </w:rPr>
        <w:t xml:space="preserve"> it is the COT initiator for a configured uplink transmission that starts at the UE’s FFP (i.e. Alt-b), is marginal.</w:t>
      </w:r>
    </w:p>
    <w:p w14:paraId="31A87205" w14:textId="77777777" w:rsidR="00755134" w:rsidRDefault="00755134" w:rsidP="00755134">
      <w:pPr>
        <w:jc w:val="both"/>
        <w:rPr>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506CE3F1" w14:textId="77777777" w:rsidR="006F4B29" w:rsidRDefault="006F4B29" w:rsidP="006F4B29">
      <w:pPr>
        <w:jc w:val="both"/>
        <w:rPr>
          <w:b/>
          <w:bCs/>
          <w:lang w:val="en-US"/>
        </w:rPr>
      </w:pPr>
      <w:r w:rsidRPr="00F94081">
        <w:rPr>
          <w:b/>
          <w:bCs/>
          <w:lang w:val="en-US"/>
        </w:rPr>
        <w:t xml:space="preserve">Proposal </w:t>
      </w:r>
      <w:r>
        <w:rPr>
          <w:b/>
          <w:bCs/>
          <w:lang w:val="en-US"/>
        </w:rPr>
        <w:t>1</w:t>
      </w:r>
      <w:r w:rsidRPr="00F94081">
        <w:rPr>
          <w:b/>
          <w:bCs/>
          <w:lang w:val="en-US"/>
        </w:rPr>
        <w:t xml:space="preserve">: The UE determines the COT initiator based on an indication in the scheduling DCI.  </w:t>
      </w:r>
      <w:r>
        <w:rPr>
          <w:b/>
          <w:bCs/>
          <w:lang w:val="en-US"/>
        </w:rPr>
        <w:t xml:space="preserve">A </w:t>
      </w:r>
      <w:r w:rsidRPr="00F94081">
        <w:rPr>
          <w:b/>
          <w:bCs/>
          <w:lang w:val="en-US"/>
        </w:rPr>
        <w:t xml:space="preserve">UE that is configured to enable COT initiation is also configured with </w:t>
      </w:r>
      <w:r>
        <w:rPr>
          <w:b/>
          <w:bCs/>
          <w:lang w:val="en-US"/>
        </w:rPr>
        <w:t xml:space="preserve">a </w:t>
      </w:r>
      <w:r w:rsidRPr="00F94081">
        <w:rPr>
          <w:b/>
          <w:bCs/>
          <w:lang w:val="en-US"/>
        </w:rPr>
        <w:t>COT ownership indicator in the scheduling DCI</w:t>
      </w:r>
      <w:r>
        <w:rPr>
          <w:b/>
          <w:bCs/>
          <w:lang w:val="en-US"/>
        </w:rPr>
        <w:t xml:space="preserve"> (Alt-a)</w:t>
      </w:r>
      <w:r w:rsidRPr="00F94081">
        <w:rPr>
          <w:b/>
          <w:bCs/>
          <w:lang w:val="en-US"/>
        </w:rPr>
        <w:t>.</w:t>
      </w:r>
    </w:p>
    <w:p w14:paraId="7C716B17" w14:textId="77777777" w:rsidR="006F4B29" w:rsidRPr="00F94081" w:rsidRDefault="006F4B29" w:rsidP="006F4B29">
      <w:pPr>
        <w:jc w:val="both"/>
        <w:rPr>
          <w:b/>
          <w:bCs/>
          <w:lang w:val="en-US"/>
        </w:rPr>
      </w:pPr>
      <w:r>
        <w:rPr>
          <w:b/>
          <w:bCs/>
          <w:lang w:val="en-US"/>
        </w:rPr>
        <w:t xml:space="preserve">Proposal 2: The COT ownership indicator should </w:t>
      </w:r>
      <w:r w:rsidRPr="006F4B29">
        <w:rPr>
          <w:b/>
          <w:bCs/>
          <w:i/>
          <w:iCs/>
          <w:lang w:val="en-US"/>
        </w:rPr>
        <w:t xml:space="preserve">not </w:t>
      </w:r>
      <w:r>
        <w:rPr>
          <w:b/>
          <w:bCs/>
          <w:lang w:val="en-US"/>
        </w:rPr>
        <w:t>be absent for a UE configured for COT initiation.</w:t>
      </w:r>
    </w:p>
    <w:p w14:paraId="1B0E4C9E" w14:textId="77777777" w:rsidR="006F4B29" w:rsidRPr="009A251D" w:rsidRDefault="006F4B29" w:rsidP="006F4B29">
      <w:pPr>
        <w:rPr>
          <w:rFonts w:eastAsia="MS Mincho"/>
          <w:b/>
          <w:lang w:val="en-US"/>
        </w:rPr>
      </w:pPr>
      <w:r w:rsidRPr="009A251D">
        <w:rPr>
          <w:rFonts w:eastAsia="MS Mincho"/>
          <w:b/>
          <w:lang w:val="en-US"/>
        </w:rPr>
        <w:t>Proposal 3: For a configured UL transmission that is aligned with a UE FFP boundary and ends before the idle period of that UE FFP, the COT initiator is determined as follows:</w:t>
      </w:r>
    </w:p>
    <w:p w14:paraId="0E9DF802" w14:textId="77777777" w:rsidR="006F4B29" w:rsidRPr="007606B4" w:rsidRDefault="006F4B29" w:rsidP="006F4B29">
      <w:pPr>
        <w:pStyle w:val="ListParagraph"/>
        <w:numPr>
          <w:ilvl w:val="0"/>
          <w:numId w:val="33"/>
        </w:numPr>
        <w:rPr>
          <w:rFonts w:eastAsia="MS Mincho"/>
          <w:b/>
          <w:lang w:val="en-US"/>
        </w:rPr>
      </w:pPr>
      <w:r w:rsidRPr="007606B4">
        <w:rPr>
          <w:rFonts w:eastAsia="MS Mincho"/>
          <w:b/>
          <w:lang w:val="en-US"/>
        </w:rPr>
        <w:t xml:space="preserve">If the transmission is confined within a gNB FFP before the idle period of that gNB FFP, and the UE has already determined that </w:t>
      </w:r>
      <w:r>
        <w:rPr>
          <w:rFonts w:eastAsia="MS Mincho"/>
          <w:b/>
          <w:lang w:val="en-US"/>
        </w:rPr>
        <w:t xml:space="preserve">the </w:t>
      </w:r>
      <w:r w:rsidRPr="007606B4">
        <w:rPr>
          <w:rFonts w:eastAsia="MS Mincho"/>
          <w:b/>
          <w:lang w:val="en-US"/>
        </w:rPr>
        <w:t xml:space="preserve">gNB </w:t>
      </w:r>
      <w:r>
        <w:rPr>
          <w:rFonts w:eastAsia="MS Mincho"/>
          <w:b/>
          <w:lang w:val="en-US"/>
        </w:rPr>
        <w:t>had</w:t>
      </w:r>
      <w:r w:rsidRPr="007606B4">
        <w:rPr>
          <w:rFonts w:eastAsia="MS Mincho"/>
          <w:b/>
          <w:lang w:val="en-US"/>
        </w:rPr>
        <w:t xml:space="preserve"> initiated </w:t>
      </w:r>
      <w:r>
        <w:rPr>
          <w:rFonts w:eastAsia="MS Mincho"/>
          <w:b/>
          <w:lang w:val="en-US"/>
        </w:rPr>
        <w:t xml:space="preserve">a COT in </w:t>
      </w:r>
      <w:r w:rsidRPr="007606B4">
        <w:rPr>
          <w:rFonts w:eastAsia="MS Mincho"/>
          <w:b/>
          <w:lang w:val="en-US"/>
        </w:rPr>
        <w:t>that gNB FFP, UE assumes that the configured UL transmission corresponds to gNB-initiated COT. Otherwise, UE assumes that the configured UL transmission corresponds to UE-initiated COT</w:t>
      </w:r>
      <w:r>
        <w:rPr>
          <w:rFonts w:eastAsia="MS Mincho"/>
          <w:b/>
          <w:lang w:val="en-US"/>
        </w:rPr>
        <w:t xml:space="preserve"> (Alt-a)</w:t>
      </w:r>
    </w:p>
    <w:p w14:paraId="5D401774" w14:textId="77777777" w:rsidR="006F4B29" w:rsidRDefault="006F4B29" w:rsidP="006F4B29">
      <w:pPr>
        <w:jc w:val="both"/>
        <w:rPr>
          <w:lang w:val="en-US"/>
        </w:rPr>
      </w:pPr>
    </w:p>
    <w:p w14:paraId="2311CECC" w14:textId="77777777" w:rsidR="006F4B29" w:rsidRPr="00012AC9" w:rsidRDefault="006F4B29" w:rsidP="006F4B29">
      <w:pPr>
        <w:spacing w:after="0"/>
        <w:rPr>
          <w:b/>
          <w:bCs/>
          <w:color w:val="000000"/>
        </w:rPr>
      </w:pPr>
      <w:r w:rsidRPr="00012AC9">
        <w:rPr>
          <w:b/>
          <w:bCs/>
          <w:color w:val="000000"/>
        </w:rPr>
        <w:t xml:space="preserve">Proposal </w:t>
      </w:r>
      <w:r>
        <w:rPr>
          <w:b/>
          <w:bCs/>
          <w:color w:val="000000"/>
        </w:rPr>
        <w:t>4</w:t>
      </w:r>
      <w:r w:rsidRPr="00012AC9">
        <w:rPr>
          <w:b/>
          <w:bCs/>
          <w:color w:val="000000"/>
        </w:rPr>
        <w:t xml:space="preserve">: </w:t>
      </w:r>
      <w:r w:rsidRPr="009C0264">
        <w:rPr>
          <w:b/>
          <w:bCs/>
          <w:lang w:val="en-US"/>
        </w:rPr>
        <w:t xml:space="preserve">“CG-UCI based procedures” and “CG-DFI based procedures” are independently enabled or disabled for unlicensed using respective RRC parameter, i.e. new parameter X and </w:t>
      </w:r>
      <w:r w:rsidRPr="009C0264">
        <w:rPr>
          <w:b/>
          <w:bCs/>
          <w:i/>
          <w:iCs/>
          <w:lang w:val="en-US"/>
        </w:rPr>
        <w:t>cg-RetransmissionTimer-r16</w:t>
      </w:r>
      <w:r w:rsidRPr="009C0264">
        <w:rPr>
          <w:b/>
          <w:bCs/>
          <w:lang w:val="en-US"/>
        </w:rPr>
        <w:t>, respectively</w:t>
      </w:r>
      <w:r w:rsidRPr="009C0264">
        <w:rPr>
          <w:b/>
          <w:bCs/>
          <w:color w:val="000000"/>
        </w:rPr>
        <w:t>.</w:t>
      </w:r>
      <w:r>
        <w:rPr>
          <w:b/>
          <w:bCs/>
          <w:color w:val="000000"/>
        </w:rPr>
        <w:t xml:space="preserve"> (i.e. Option 2-a)</w:t>
      </w:r>
    </w:p>
    <w:p w14:paraId="524EC823" w14:textId="3381A8EC" w:rsidR="00D20CB0" w:rsidRPr="001A190B" w:rsidRDefault="00D20CB0" w:rsidP="00D20CB0">
      <w:pPr>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BC8052D" w14:textId="6282CA82" w:rsidR="003B0D86" w:rsidRDefault="005A029D" w:rsidP="00A70304">
      <w:r>
        <w:t xml:space="preserve">[1] </w:t>
      </w:r>
      <w:r w:rsidR="00A70304" w:rsidRPr="00A70304">
        <w:t>R1- 2103960</w:t>
      </w:r>
      <w:r w:rsidR="00A70304">
        <w:t>, “</w:t>
      </w:r>
      <w:r w:rsidR="00A70304" w:rsidRPr="00A70304">
        <w:t>Summary#5 - Enhancements for IIOT/URLLC on Unlicensed Band</w:t>
      </w:r>
      <w:r w:rsidR="00A70304">
        <w:t xml:space="preserve">,” </w:t>
      </w:r>
      <w:r w:rsidR="00A70304" w:rsidRPr="00A70304">
        <w:t>Moderator (Ericsson)</w:t>
      </w:r>
      <w:r w:rsidR="00A70304">
        <w:t>, RAN1#104bis-e</w:t>
      </w:r>
    </w:p>
    <w:sectPr w:rsidR="003B0D86">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2B60E" w16cex:dateUtc="2021-01-08T01:44:00Z"/>
  <w16cex:commentExtensible w16cex:durableId="23A2C12D" w16cex:dateUtc="2021-01-08T0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EEC00" w14:textId="77777777" w:rsidR="00C551A0" w:rsidRDefault="00C551A0">
      <w:r>
        <w:separator/>
      </w:r>
    </w:p>
  </w:endnote>
  <w:endnote w:type="continuationSeparator" w:id="0">
    <w:p w14:paraId="3C0B6CF0" w14:textId="77777777" w:rsidR="00C551A0" w:rsidRDefault="00C551A0">
      <w:r>
        <w:continuationSeparator/>
      </w:r>
    </w:p>
  </w:endnote>
  <w:endnote w:type="continuationNotice" w:id="1">
    <w:p w14:paraId="5FC356E6" w14:textId="77777777" w:rsidR="00C551A0" w:rsidRDefault="00C551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DA7CD" w14:textId="77777777" w:rsidR="00C551A0" w:rsidRDefault="00C551A0">
      <w:r>
        <w:separator/>
      </w:r>
    </w:p>
  </w:footnote>
  <w:footnote w:type="continuationSeparator" w:id="0">
    <w:p w14:paraId="7CFDDED8" w14:textId="77777777" w:rsidR="00C551A0" w:rsidRDefault="00C551A0">
      <w:r>
        <w:continuationSeparator/>
      </w:r>
    </w:p>
  </w:footnote>
  <w:footnote w:type="continuationNotice" w:id="1">
    <w:p w14:paraId="6836B329" w14:textId="77777777" w:rsidR="00C551A0" w:rsidRDefault="00C551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B33C30"/>
    <w:multiLevelType w:val="hybridMultilevel"/>
    <w:tmpl w:val="9C504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1B4968A7"/>
    <w:multiLevelType w:val="hybridMultilevel"/>
    <w:tmpl w:val="3BDE1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F86A21"/>
    <w:multiLevelType w:val="hybridMultilevel"/>
    <w:tmpl w:val="7DE05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5"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2065A6"/>
    <w:multiLevelType w:val="hybridMultilevel"/>
    <w:tmpl w:val="E2162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934E49"/>
    <w:multiLevelType w:val="hybridMultilevel"/>
    <w:tmpl w:val="A9AA5D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116F1B"/>
    <w:multiLevelType w:val="hybridMultilevel"/>
    <w:tmpl w:val="3C04C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4"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E01D7B"/>
    <w:multiLevelType w:val="hybridMultilevel"/>
    <w:tmpl w:val="4B2C24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512BA4"/>
    <w:multiLevelType w:val="hybridMultilevel"/>
    <w:tmpl w:val="C2F6D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F802F3"/>
    <w:multiLevelType w:val="hybridMultilevel"/>
    <w:tmpl w:val="C3F66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3"/>
  </w:num>
  <w:num w:numId="2">
    <w:abstractNumId w:val="20"/>
  </w:num>
  <w:num w:numId="3">
    <w:abstractNumId w:val="14"/>
  </w:num>
  <w:num w:numId="4">
    <w:abstractNumId w:val="4"/>
  </w:num>
  <w:num w:numId="5">
    <w:abstractNumId w:val="0"/>
  </w:num>
  <w:num w:numId="6">
    <w:abstractNumId w:val="9"/>
  </w:num>
  <w:num w:numId="7">
    <w:abstractNumId w:val="32"/>
  </w:num>
  <w:num w:numId="8">
    <w:abstractNumId w:val="15"/>
  </w:num>
  <w:num w:numId="9">
    <w:abstractNumId w:val="10"/>
  </w:num>
  <w:num w:numId="10">
    <w:abstractNumId w:val="30"/>
  </w:num>
  <w:num w:numId="11">
    <w:abstractNumId w:val="31"/>
  </w:num>
  <w:num w:numId="12">
    <w:abstractNumId w:val="5"/>
  </w:num>
  <w:num w:numId="13">
    <w:abstractNumId w:val="24"/>
  </w:num>
  <w:num w:numId="14">
    <w:abstractNumId w:val="29"/>
  </w:num>
  <w:num w:numId="15">
    <w:abstractNumId w:val="6"/>
  </w:num>
  <w:num w:numId="16">
    <w:abstractNumId w:val="8"/>
  </w:num>
  <w:num w:numId="17">
    <w:abstractNumId w:val="3"/>
  </w:num>
  <w:num w:numId="18">
    <w:abstractNumId w:val="7"/>
  </w:num>
  <w:num w:numId="19">
    <w:abstractNumId w:val="21"/>
  </w:num>
  <w:num w:numId="20">
    <w:abstractNumId w:val="16"/>
  </w:num>
  <w:num w:numId="21">
    <w:abstractNumId w:val="13"/>
  </w:num>
  <w:num w:numId="22">
    <w:abstractNumId w:val="28"/>
  </w:num>
  <w:num w:numId="23">
    <w:abstractNumId w:val="25"/>
  </w:num>
  <w:num w:numId="24">
    <w:abstractNumId w:val="17"/>
  </w:num>
  <w:num w:numId="25">
    <w:abstractNumId w:val="22"/>
  </w:num>
  <w:num w:numId="26">
    <w:abstractNumId w:val="18"/>
  </w:num>
  <w:num w:numId="27">
    <w:abstractNumId w:val="2"/>
  </w:num>
  <w:num w:numId="28">
    <w:abstractNumId w:val="27"/>
  </w:num>
  <w:num w:numId="29">
    <w:abstractNumId w:val="12"/>
  </w:num>
  <w:num w:numId="30">
    <w:abstractNumId w:val="11"/>
  </w:num>
  <w:num w:numId="31">
    <w:abstractNumId w:val="26"/>
  </w:num>
  <w:num w:numId="32">
    <w:abstractNumId w:val="1"/>
  </w:num>
  <w:num w:numId="3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1CA"/>
    <w:rsid w:val="00002AB0"/>
    <w:rsid w:val="000037B1"/>
    <w:rsid w:val="00003E23"/>
    <w:rsid w:val="00003F25"/>
    <w:rsid w:val="00003F76"/>
    <w:rsid w:val="00005DB5"/>
    <w:rsid w:val="000102FF"/>
    <w:rsid w:val="0001157C"/>
    <w:rsid w:val="00011972"/>
    <w:rsid w:val="00012274"/>
    <w:rsid w:val="00012AC9"/>
    <w:rsid w:val="00012D96"/>
    <w:rsid w:val="000133EC"/>
    <w:rsid w:val="00017A64"/>
    <w:rsid w:val="000210A9"/>
    <w:rsid w:val="00022060"/>
    <w:rsid w:val="00022C26"/>
    <w:rsid w:val="0002561C"/>
    <w:rsid w:val="00027483"/>
    <w:rsid w:val="00027DE7"/>
    <w:rsid w:val="00031AA4"/>
    <w:rsid w:val="00032A02"/>
    <w:rsid w:val="00034A05"/>
    <w:rsid w:val="00034BE0"/>
    <w:rsid w:val="000366AC"/>
    <w:rsid w:val="00037FAD"/>
    <w:rsid w:val="00040836"/>
    <w:rsid w:val="00040B7B"/>
    <w:rsid w:val="0004157F"/>
    <w:rsid w:val="00041A7F"/>
    <w:rsid w:val="00042C53"/>
    <w:rsid w:val="000437AE"/>
    <w:rsid w:val="00045485"/>
    <w:rsid w:val="00046177"/>
    <w:rsid w:val="00050083"/>
    <w:rsid w:val="00051AE3"/>
    <w:rsid w:val="000526BF"/>
    <w:rsid w:val="00057629"/>
    <w:rsid w:val="00060A19"/>
    <w:rsid w:val="00062DA9"/>
    <w:rsid w:val="00063EB5"/>
    <w:rsid w:val="000657A3"/>
    <w:rsid w:val="00067574"/>
    <w:rsid w:val="00070CB1"/>
    <w:rsid w:val="00071A2D"/>
    <w:rsid w:val="0007415F"/>
    <w:rsid w:val="00075598"/>
    <w:rsid w:val="000771C1"/>
    <w:rsid w:val="000772E2"/>
    <w:rsid w:val="00080250"/>
    <w:rsid w:val="00081217"/>
    <w:rsid w:val="0008487C"/>
    <w:rsid w:val="00085823"/>
    <w:rsid w:val="00087A3B"/>
    <w:rsid w:val="00087D3A"/>
    <w:rsid w:val="0009061A"/>
    <w:rsid w:val="00092A5C"/>
    <w:rsid w:val="000930E8"/>
    <w:rsid w:val="00093601"/>
    <w:rsid w:val="00094981"/>
    <w:rsid w:val="000952BF"/>
    <w:rsid w:val="0009577B"/>
    <w:rsid w:val="000961E0"/>
    <w:rsid w:val="00096B0F"/>
    <w:rsid w:val="00096DD3"/>
    <w:rsid w:val="0009759A"/>
    <w:rsid w:val="000A0861"/>
    <w:rsid w:val="000A1ACC"/>
    <w:rsid w:val="000A1E1B"/>
    <w:rsid w:val="000A2552"/>
    <w:rsid w:val="000A35CB"/>
    <w:rsid w:val="000A519B"/>
    <w:rsid w:val="000A670D"/>
    <w:rsid w:val="000B2C0D"/>
    <w:rsid w:val="000B2C86"/>
    <w:rsid w:val="000B4315"/>
    <w:rsid w:val="000B5886"/>
    <w:rsid w:val="000B5D65"/>
    <w:rsid w:val="000B68AA"/>
    <w:rsid w:val="000B6F39"/>
    <w:rsid w:val="000B741A"/>
    <w:rsid w:val="000C054B"/>
    <w:rsid w:val="000C0A74"/>
    <w:rsid w:val="000C2901"/>
    <w:rsid w:val="000C2AC0"/>
    <w:rsid w:val="000C34E2"/>
    <w:rsid w:val="000C3B1C"/>
    <w:rsid w:val="000C5BBA"/>
    <w:rsid w:val="000D2E23"/>
    <w:rsid w:val="000D49B2"/>
    <w:rsid w:val="000D639E"/>
    <w:rsid w:val="000D6E32"/>
    <w:rsid w:val="000D7B2E"/>
    <w:rsid w:val="000E2A73"/>
    <w:rsid w:val="000E678E"/>
    <w:rsid w:val="000F0284"/>
    <w:rsid w:val="000F0589"/>
    <w:rsid w:val="000F0B4D"/>
    <w:rsid w:val="000F183A"/>
    <w:rsid w:val="000F2691"/>
    <w:rsid w:val="000F5A6E"/>
    <w:rsid w:val="00102B6D"/>
    <w:rsid w:val="00103160"/>
    <w:rsid w:val="0010548F"/>
    <w:rsid w:val="00106793"/>
    <w:rsid w:val="00106D5C"/>
    <w:rsid w:val="00106DB8"/>
    <w:rsid w:val="00106E4E"/>
    <w:rsid w:val="001074FE"/>
    <w:rsid w:val="001116CE"/>
    <w:rsid w:val="00111DCA"/>
    <w:rsid w:val="00112FBE"/>
    <w:rsid w:val="00113713"/>
    <w:rsid w:val="00113FFC"/>
    <w:rsid w:val="001156D6"/>
    <w:rsid w:val="00116008"/>
    <w:rsid w:val="00117DD7"/>
    <w:rsid w:val="0012187F"/>
    <w:rsid w:val="001219AE"/>
    <w:rsid w:val="00121CA3"/>
    <w:rsid w:val="00123B0E"/>
    <w:rsid w:val="00123C2E"/>
    <w:rsid w:val="00124B6B"/>
    <w:rsid w:val="00124FCC"/>
    <w:rsid w:val="00126B43"/>
    <w:rsid w:val="001318A8"/>
    <w:rsid w:val="001318C4"/>
    <w:rsid w:val="00131F38"/>
    <w:rsid w:val="001324D1"/>
    <w:rsid w:val="001343BB"/>
    <w:rsid w:val="00134BD6"/>
    <w:rsid w:val="00136D8B"/>
    <w:rsid w:val="00136DE8"/>
    <w:rsid w:val="0014010F"/>
    <w:rsid w:val="001415AE"/>
    <w:rsid w:val="00144192"/>
    <w:rsid w:val="00153DAF"/>
    <w:rsid w:val="00154348"/>
    <w:rsid w:val="00155449"/>
    <w:rsid w:val="00155458"/>
    <w:rsid w:val="00156E9C"/>
    <w:rsid w:val="00160371"/>
    <w:rsid w:val="00162258"/>
    <w:rsid w:val="001623C0"/>
    <w:rsid w:val="0016276D"/>
    <w:rsid w:val="001641D6"/>
    <w:rsid w:val="001703DF"/>
    <w:rsid w:val="00171BCC"/>
    <w:rsid w:val="00173B87"/>
    <w:rsid w:val="00174FBB"/>
    <w:rsid w:val="001759AC"/>
    <w:rsid w:val="001773FC"/>
    <w:rsid w:val="00177C0E"/>
    <w:rsid w:val="00180FB8"/>
    <w:rsid w:val="001812ED"/>
    <w:rsid w:val="001836A4"/>
    <w:rsid w:val="0018507A"/>
    <w:rsid w:val="0018756C"/>
    <w:rsid w:val="00190E15"/>
    <w:rsid w:val="00191488"/>
    <w:rsid w:val="0019153B"/>
    <w:rsid w:val="001918D8"/>
    <w:rsid w:val="0019256C"/>
    <w:rsid w:val="0019605F"/>
    <w:rsid w:val="00196366"/>
    <w:rsid w:val="001971E6"/>
    <w:rsid w:val="001979C0"/>
    <w:rsid w:val="001A190B"/>
    <w:rsid w:val="001A2D3D"/>
    <w:rsid w:val="001A4253"/>
    <w:rsid w:val="001A4874"/>
    <w:rsid w:val="001A4ED2"/>
    <w:rsid w:val="001A6249"/>
    <w:rsid w:val="001A683D"/>
    <w:rsid w:val="001A6957"/>
    <w:rsid w:val="001A7756"/>
    <w:rsid w:val="001B0C5B"/>
    <w:rsid w:val="001B173A"/>
    <w:rsid w:val="001B1893"/>
    <w:rsid w:val="001B199A"/>
    <w:rsid w:val="001B1A12"/>
    <w:rsid w:val="001B20FE"/>
    <w:rsid w:val="001B39B3"/>
    <w:rsid w:val="001B3BA0"/>
    <w:rsid w:val="001B4CA8"/>
    <w:rsid w:val="001B6F5E"/>
    <w:rsid w:val="001C5D90"/>
    <w:rsid w:val="001C5F5C"/>
    <w:rsid w:val="001C7850"/>
    <w:rsid w:val="001D1CB2"/>
    <w:rsid w:val="001D2B9B"/>
    <w:rsid w:val="001D3CD9"/>
    <w:rsid w:val="001D4C19"/>
    <w:rsid w:val="001D569E"/>
    <w:rsid w:val="001D7294"/>
    <w:rsid w:val="001D7299"/>
    <w:rsid w:val="001D7786"/>
    <w:rsid w:val="001D7B2D"/>
    <w:rsid w:val="001E1CB7"/>
    <w:rsid w:val="001E507C"/>
    <w:rsid w:val="001E577C"/>
    <w:rsid w:val="001E6315"/>
    <w:rsid w:val="001E6E71"/>
    <w:rsid w:val="001F24B2"/>
    <w:rsid w:val="001F2AE2"/>
    <w:rsid w:val="001F37F8"/>
    <w:rsid w:val="001F3B16"/>
    <w:rsid w:val="001F3CB9"/>
    <w:rsid w:val="001F4476"/>
    <w:rsid w:val="001F4FDD"/>
    <w:rsid w:val="001F5647"/>
    <w:rsid w:val="001F5D33"/>
    <w:rsid w:val="001F6352"/>
    <w:rsid w:val="001F6D3C"/>
    <w:rsid w:val="001F725C"/>
    <w:rsid w:val="001F7576"/>
    <w:rsid w:val="001F7D71"/>
    <w:rsid w:val="0020013C"/>
    <w:rsid w:val="00200BC4"/>
    <w:rsid w:val="00202107"/>
    <w:rsid w:val="00203776"/>
    <w:rsid w:val="00203A7C"/>
    <w:rsid w:val="00205730"/>
    <w:rsid w:val="00207880"/>
    <w:rsid w:val="00210024"/>
    <w:rsid w:val="00210426"/>
    <w:rsid w:val="00210A8C"/>
    <w:rsid w:val="002136ED"/>
    <w:rsid w:val="002146C4"/>
    <w:rsid w:val="0021716A"/>
    <w:rsid w:val="0021781D"/>
    <w:rsid w:val="002179A0"/>
    <w:rsid w:val="00220776"/>
    <w:rsid w:val="00221BCA"/>
    <w:rsid w:val="0022222B"/>
    <w:rsid w:val="00222841"/>
    <w:rsid w:val="00222FEB"/>
    <w:rsid w:val="00223C4F"/>
    <w:rsid w:val="0022618D"/>
    <w:rsid w:val="00226816"/>
    <w:rsid w:val="0022688D"/>
    <w:rsid w:val="002270B0"/>
    <w:rsid w:val="00230140"/>
    <w:rsid w:val="0023091B"/>
    <w:rsid w:val="00233BCA"/>
    <w:rsid w:val="00233CA5"/>
    <w:rsid w:val="002342D7"/>
    <w:rsid w:val="00235516"/>
    <w:rsid w:val="00237449"/>
    <w:rsid w:val="00240132"/>
    <w:rsid w:val="002402DA"/>
    <w:rsid w:val="002419B9"/>
    <w:rsid w:val="002422B7"/>
    <w:rsid w:val="0024263F"/>
    <w:rsid w:val="00242E15"/>
    <w:rsid w:val="002441DB"/>
    <w:rsid w:val="0024533F"/>
    <w:rsid w:val="002473F2"/>
    <w:rsid w:val="0024780F"/>
    <w:rsid w:val="00252C04"/>
    <w:rsid w:val="00253F70"/>
    <w:rsid w:val="00254BFE"/>
    <w:rsid w:val="00257594"/>
    <w:rsid w:val="0025781D"/>
    <w:rsid w:val="0026014F"/>
    <w:rsid w:val="0026394C"/>
    <w:rsid w:val="00263CA8"/>
    <w:rsid w:val="0026656B"/>
    <w:rsid w:val="002679C5"/>
    <w:rsid w:val="00270216"/>
    <w:rsid w:val="0027318F"/>
    <w:rsid w:val="002732F5"/>
    <w:rsid w:val="00275802"/>
    <w:rsid w:val="00275F80"/>
    <w:rsid w:val="002761EC"/>
    <w:rsid w:val="00280ED8"/>
    <w:rsid w:val="00282700"/>
    <w:rsid w:val="00282896"/>
    <w:rsid w:val="00284BAA"/>
    <w:rsid w:val="002850B5"/>
    <w:rsid w:val="00285393"/>
    <w:rsid w:val="00286D51"/>
    <w:rsid w:val="00286F93"/>
    <w:rsid w:val="00287680"/>
    <w:rsid w:val="002878A7"/>
    <w:rsid w:val="00291026"/>
    <w:rsid w:val="0029163A"/>
    <w:rsid w:val="00291C04"/>
    <w:rsid w:val="00292299"/>
    <w:rsid w:val="00293E19"/>
    <w:rsid w:val="00294238"/>
    <w:rsid w:val="00295608"/>
    <w:rsid w:val="00295ADF"/>
    <w:rsid w:val="002A006C"/>
    <w:rsid w:val="002A020C"/>
    <w:rsid w:val="002A0221"/>
    <w:rsid w:val="002A1E8A"/>
    <w:rsid w:val="002A3B4C"/>
    <w:rsid w:val="002A5825"/>
    <w:rsid w:val="002A591C"/>
    <w:rsid w:val="002A7770"/>
    <w:rsid w:val="002B1397"/>
    <w:rsid w:val="002B1D8E"/>
    <w:rsid w:val="002B4D1A"/>
    <w:rsid w:val="002B54B3"/>
    <w:rsid w:val="002B56B8"/>
    <w:rsid w:val="002B5807"/>
    <w:rsid w:val="002C01D5"/>
    <w:rsid w:val="002C584A"/>
    <w:rsid w:val="002C75C7"/>
    <w:rsid w:val="002D14A6"/>
    <w:rsid w:val="002D1FA5"/>
    <w:rsid w:val="002D4F72"/>
    <w:rsid w:val="002D5C34"/>
    <w:rsid w:val="002E09BD"/>
    <w:rsid w:val="002E0D51"/>
    <w:rsid w:val="002E24EA"/>
    <w:rsid w:val="002E3E88"/>
    <w:rsid w:val="002E73EE"/>
    <w:rsid w:val="002E7691"/>
    <w:rsid w:val="002E77DE"/>
    <w:rsid w:val="002F0B65"/>
    <w:rsid w:val="002F1D23"/>
    <w:rsid w:val="002F2113"/>
    <w:rsid w:val="002F27E9"/>
    <w:rsid w:val="002F7659"/>
    <w:rsid w:val="003017FF"/>
    <w:rsid w:val="00301B0B"/>
    <w:rsid w:val="0030595F"/>
    <w:rsid w:val="00305F45"/>
    <w:rsid w:val="003077B4"/>
    <w:rsid w:val="00307F60"/>
    <w:rsid w:val="00310D7A"/>
    <w:rsid w:val="003119DD"/>
    <w:rsid w:val="00311BD9"/>
    <w:rsid w:val="00314ABC"/>
    <w:rsid w:val="00315418"/>
    <w:rsid w:val="003162A9"/>
    <w:rsid w:val="00322F7E"/>
    <w:rsid w:val="0032319A"/>
    <w:rsid w:val="00323CCE"/>
    <w:rsid w:val="00325336"/>
    <w:rsid w:val="00327383"/>
    <w:rsid w:val="003275FE"/>
    <w:rsid w:val="00333EB6"/>
    <w:rsid w:val="003352DF"/>
    <w:rsid w:val="003365EF"/>
    <w:rsid w:val="003428F0"/>
    <w:rsid w:val="003438A6"/>
    <w:rsid w:val="00344A18"/>
    <w:rsid w:val="003474A9"/>
    <w:rsid w:val="00350811"/>
    <w:rsid w:val="0035221F"/>
    <w:rsid w:val="00352564"/>
    <w:rsid w:val="003527BE"/>
    <w:rsid w:val="003539C7"/>
    <w:rsid w:val="003567DC"/>
    <w:rsid w:val="00356FC8"/>
    <w:rsid w:val="00362CFE"/>
    <w:rsid w:val="00364752"/>
    <w:rsid w:val="003655DA"/>
    <w:rsid w:val="003675D2"/>
    <w:rsid w:val="00367E12"/>
    <w:rsid w:val="00371CCF"/>
    <w:rsid w:val="00372494"/>
    <w:rsid w:val="00374486"/>
    <w:rsid w:val="003753AD"/>
    <w:rsid w:val="00380233"/>
    <w:rsid w:val="0038194E"/>
    <w:rsid w:val="00382EEB"/>
    <w:rsid w:val="003832E9"/>
    <w:rsid w:val="00383598"/>
    <w:rsid w:val="003859FD"/>
    <w:rsid w:val="0039361A"/>
    <w:rsid w:val="00393A1F"/>
    <w:rsid w:val="003943F7"/>
    <w:rsid w:val="003958A9"/>
    <w:rsid w:val="00396BB6"/>
    <w:rsid w:val="003A004E"/>
    <w:rsid w:val="003A1518"/>
    <w:rsid w:val="003A1646"/>
    <w:rsid w:val="003A1649"/>
    <w:rsid w:val="003A1A45"/>
    <w:rsid w:val="003A3361"/>
    <w:rsid w:val="003A42CD"/>
    <w:rsid w:val="003A433E"/>
    <w:rsid w:val="003A4C24"/>
    <w:rsid w:val="003A62C9"/>
    <w:rsid w:val="003B0D86"/>
    <w:rsid w:val="003B29D1"/>
    <w:rsid w:val="003B2EF1"/>
    <w:rsid w:val="003B312B"/>
    <w:rsid w:val="003B4C2F"/>
    <w:rsid w:val="003B5EBD"/>
    <w:rsid w:val="003B6947"/>
    <w:rsid w:val="003C39BA"/>
    <w:rsid w:val="003C646A"/>
    <w:rsid w:val="003C6A8B"/>
    <w:rsid w:val="003D3533"/>
    <w:rsid w:val="003D4318"/>
    <w:rsid w:val="003D4C90"/>
    <w:rsid w:val="003D4D17"/>
    <w:rsid w:val="003D529F"/>
    <w:rsid w:val="003D5853"/>
    <w:rsid w:val="003D595D"/>
    <w:rsid w:val="003D6543"/>
    <w:rsid w:val="003D6618"/>
    <w:rsid w:val="003D6EE0"/>
    <w:rsid w:val="003D7DE4"/>
    <w:rsid w:val="003E0300"/>
    <w:rsid w:val="003E094D"/>
    <w:rsid w:val="003E0DFA"/>
    <w:rsid w:val="003E0E4D"/>
    <w:rsid w:val="003E1318"/>
    <w:rsid w:val="003E483F"/>
    <w:rsid w:val="003E7694"/>
    <w:rsid w:val="003F04CF"/>
    <w:rsid w:val="003F1DD9"/>
    <w:rsid w:val="003F3102"/>
    <w:rsid w:val="003F61CD"/>
    <w:rsid w:val="004012D6"/>
    <w:rsid w:val="00401479"/>
    <w:rsid w:val="0040350E"/>
    <w:rsid w:val="004039B1"/>
    <w:rsid w:val="00403E3D"/>
    <w:rsid w:val="004042FC"/>
    <w:rsid w:val="004063FB"/>
    <w:rsid w:val="00407DC9"/>
    <w:rsid w:val="00410DD6"/>
    <w:rsid w:val="00411571"/>
    <w:rsid w:val="00413511"/>
    <w:rsid w:val="00413ECC"/>
    <w:rsid w:val="0041482F"/>
    <w:rsid w:val="004156D9"/>
    <w:rsid w:val="004158CB"/>
    <w:rsid w:val="00417FC0"/>
    <w:rsid w:val="004211F1"/>
    <w:rsid w:val="00421D52"/>
    <w:rsid w:val="00422848"/>
    <w:rsid w:val="00423BD1"/>
    <w:rsid w:val="004251BD"/>
    <w:rsid w:val="00425D5B"/>
    <w:rsid w:val="00427D9F"/>
    <w:rsid w:val="00430383"/>
    <w:rsid w:val="0043408E"/>
    <w:rsid w:val="00434697"/>
    <w:rsid w:val="00440646"/>
    <w:rsid w:val="0044175E"/>
    <w:rsid w:val="00441FC3"/>
    <w:rsid w:val="004469F1"/>
    <w:rsid w:val="00446F95"/>
    <w:rsid w:val="004476E8"/>
    <w:rsid w:val="00453952"/>
    <w:rsid w:val="00455BB6"/>
    <w:rsid w:val="00460156"/>
    <w:rsid w:val="0046029C"/>
    <w:rsid w:val="004605A7"/>
    <w:rsid w:val="00460AC9"/>
    <w:rsid w:val="00460C44"/>
    <w:rsid w:val="0046114B"/>
    <w:rsid w:val="0046115C"/>
    <w:rsid w:val="0046364F"/>
    <w:rsid w:val="00464932"/>
    <w:rsid w:val="004704F2"/>
    <w:rsid w:val="0047056E"/>
    <w:rsid w:val="00470A85"/>
    <w:rsid w:val="00470C71"/>
    <w:rsid w:val="00471F15"/>
    <w:rsid w:val="004747A0"/>
    <w:rsid w:val="00474CAF"/>
    <w:rsid w:val="00474F91"/>
    <w:rsid w:val="004760EC"/>
    <w:rsid w:val="004768FB"/>
    <w:rsid w:val="00477067"/>
    <w:rsid w:val="0048341C"/>
    <w:rsid w:val="00483B30"/>
    <w:rsid w:val="0048511E"/>
    <w:rsid w:val="00490605"/>
    <w:rsid w:val="004909D7"/>
    <w:rsid w:val="00491FCD"/>
    <w:rsid w:val="00492332"/>
    <w:rsid w:val="00492A87"/>
    <w:rsid w:val="00495FF3"/>
    <w:rsid w:val="0049683E"/>
    <w:rsid w:val="004A2043"/>
    <w:rsid w:val="004A4173"/>
    <w:rsid w:val="004A5E5A"/>
    <w:rsid w:val="004A650D"/>
    <w:rsid w:val="004A7D79"/>
    <w:rsid w:val="004B158E"/>
    <w:rsid w:val="004B275B"/>
    <w:rsid w:val="004B27C6"/>
    <w:rsid w:val="004B4E8E"/>
    <w:rsid w:val="004B592F"/>
    <w:rsid w:val="004B6887"/>
    <w:rsid w:val="004B6ED1"/>
    <w:rsid w:val="004C13B8"/>
    <w:rsid w:val="004C1ACF"/>
    <w:rsid w:val="004C2D06"/>
    <w:rsid w:val="004C4763"/>
    <w:rsid w:val="004C5C16"/>
    <w:rsid w:val="004C77E0"/>
    <w:rsid w:val="004D195A"/>
    <w:rsid w:val="004D1ED0"/>
    <w:rsid w:val="004D1FC7"/>
    <w:rsid w:val="004D25A2"/>
    <w:rsid w:val="004D2CFB"/>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8B2"/>
    <w:rsid w:val="004F4501"/>
    <w:rsid w:val="004F45DC"/>
    <w:rsid w:val="004F6519"/>
    <w:rsid w:val="00502AA5"/>
    <w:rsid w:val="00503879"/>
    <w:rsid w:val="00503C98"/>
    <w:rsid w:val="00503DA1"/>
    <w:rsid w:val="005052E5"/>
    <w:rsid w:val="005101DA"/>
    <w:rsid w:val="005107F1"/>
    <w:rsid w:val="00511B06"/>
    <w:rsid w:val="005141B3"/>
    <w:rsid w:val="00514ACC"/>
    <w:rsid w:val="005151DD"/>
    <w:rsid w:val="00515AA1"/>
    <w:rsid w:val="00516587"/>
    <w:rsid w:val="0051696E"/>
    <w:rsid w:val="005173E4"/>
    <w:rsid w:val="005219D0"/>
    <w:rsid w:val="005226B7"/>
    <w:rsid w:val="00525ABD"/>
    <w:rsid w:val="00527811"/>
    <w:rsid w:val="005304A6"/>
    <w:rsid w:val="005317FD"/>
    <w:rsid w:val="00533EC2"/>
    <w:rsid w:val="0053447D"/>
    <w:rsid w:val="00540859"/>
    <w:rsid w:val="00543763"/>
    <w:rsid w:val="00544758"/>
    <w:rsid w:val="00545DF3"/>
    <w:rsid w:val="00547F2B"/>
    <w:rsid w:val="00550FF6"/>
    <w:rsid w:val="00553A9F"/>
    <w:rsid w:val="00555DF8"/>
    <w:rsid w:val="005560C0"/>
    <w:rsid w:val="00556FEC"/>
    <w:rsid w:val="0055725A"/>
    <w:rsid w:val="00560741"/>
    <w:rsid w:val="0056115F"/>
    <w:rsid w:val="00562EA3"/>
    <w:rsid w:val="005640F6"/>
    <w:rsid w:val="00564B64"/>
    <w:rsid w:val="005654F5"/>
    <w:rsid w:val="005658A0"/>
    <w:rsid w:val="005661C8"/>
    <w:rsid w:val="005701B4"/>
    <w:rsid w:val="005710C3"/>
    <w:rsid w:val="0057264E"/>
    <w:rsid w:val="005738B2"/>
    <w:rsid w:val="00574987"/>
    <w:rsid w:val="00575310"/>
    <w:rsid w:val="00576978"/>
    <w:rsid w:val="00576DCA"/>
    <w:rsid w:val="005776BC"/>
    <w:rsid w:val="00577751"/>
    <w:rsid w:val="00577F8A"/>
    <w:rsid w:val="00580724"/>
    <w:rsid w:val="00581C14"/>
    <w:rsid w:val="00583CEF"/>
    <w:rsid w:val="00585563"/>
    <w:rsid w:val="00585FEE"/>
    <w:rsid w:val="00586DFE"/>
    <w:rsid w:val="005873A3"/>
    <w:rsid w:val="00587E70"/>
    <w:rsid w:val="00587FDD"/>
    <w:rsid w:val="0059077E"/>
    <w:rsid w:val="00591021"/>
    <w:rsid w:val="00591EEB"/>
    <w:rsid w:val="00594D3D"/>
    <w:rsid w:val="00594DEA"/>
    <w:rsid w:val="0059722F"/>
    <w:rsid w:val="005A0046"/>
    <w:rsid w:val="005A029D"/>
    <w:rsid w:val="005A072A"/>
    <w:rsid w:val="005A0A84"/>
    <w:rsid w:val="005A3297"/>
    <w:rsid w:val="005A4D5E"/>
    <w:rsid w:val="005A716B"/>
    <w:rsid w:val="005A73BF"/>
    <w:rsid w:val="005A7CC5"/>
    <w:rsid w:val="005B0D27"/>
    <w:rsid w:val="005B1306"/>
    <w:rsid w:val="005B2443"/>
    <w:rsid w:val="005B2791"/>
    <w:rsid w:val="005B3363"/>
    <w:rsid w:val="005B404D"/>
    <w:rsid w:val="005B4E84"/>
    <w:rsid w:val="005B62D0"/>
    <w:rsid w:val="005C19D9"/>
    <w:rsid w:val="005C3C89"/>
    <w:rsid w:val="005C3EB6"/>
    <w:rsid w:val="005C42CE"/>
    <w:rsid w:val="005C54CF"/>
    <w:rsid w:val="005C6408"/>
    <w:rsid w:val="005C6FAF"/>
    <w:rsid w:val="005C70A9"/>
    <w:rsid w:val="005C7515"/>
    <w:rsid w:val="005C7C05"/>
    <w:rsid w:val="005D2525"/>
    <w:rsid w:val="005D2E78"/>
    <w:rsid w:val="005D4784"/>
    <w:rsid w:val="005D537D"/>
    <w:rsid w:val="005D729E"/>
    <w:rsid w:val="005D78F2"/>
    <w:rsid w:val="005E1F9D"/>
    <w:rsid w:val="005E3AED"/>
    <w:rsid w:val="005E4D1C"/>
    <w:rsid w:val="005E5779"/>
    <w:rsid w:val="005E619E"/>
    <w:rsid w:val="005E6307"/>
    <w:rsid w:val="005E638A"/>
    <w:rsid w:val="005E6C06"/>
    <w:rsid w:val="005E78FC"/>
    <w:rsid w:val="005E7D65"/>
    <w:rsid w:val="005F25B5"/>
    <w:rsid w:val="005F341F"/>
    <w:rsid w:val="005F4FD9"/>
    <w:rsid w:val="005F5642"/>
    <w:rsid w:val="005F5FE9"/>
    <w:rsid w:val="005F6ABE"/>
    <w:rsid w:val="00600272"/>
    <w:rsid w:val="00601258"/>
    <w:rsid w:val="006036D1"/>
    <w:rsid w:val="00605E6D"/>
    <w:rsid w:val="00610ACA"/>
    <w:rsid w:val="00611AD1"/>
    <w:rsid w:val="00615A70"/>
    <w:rsid w:val="0061635F"/>
    <w:rsid w:val="00616D13"/>
    <w:rsid w:val="00620DD7"/>
    <w:rsid w:val="006236B8"/>
    <w:rsid w:val="006236EB"/>
    <w:rsid w:val="00623A5F"/>
    <w:rsid w:val="00624DB8"/>
    <w:rsid w:val="00626BB3"/>
    <w:rsid w:val="00627A4E"/>
    <w:rsid w:val="00627F2D"/>
    <w:rsid w:val="00633952"/>
    <w:rsid w:val="00633E08"/>
    <w:rsid w:val="0063473D"/>
    <w:rsid w:val="00635754"/>
    <w:rsid w:val="00637ED0"/>
    <w:rsid w:val="006403E0"/>
    <w:rsid w:val="0064052F"/>
    <w:rsid w:val="0064072D"/>
    <w:rsid w:val="00640BA7"/>
    <w:rsid w:val="006430B7"/>
    <w:rsid w:val="00643E1D"/>
    <w:rsid w:val="006440AC"/>
    <w:rsid w:val="00644ED3"/>
    <w:rsid w:val="00647C3D"/>
    <w:rsid w:val="00653984"/>
    <w:rsid w:val="00654406"/>
    <w:rsid w:val="0065646B"/>
    <w:rsid w:val="00656747"/>
    <w:rsid w:val="006569B2"/>
    <w:rsid w:val="00657DD9"/>
    <w:rsid w:val="00661EC5"/>
    <w:rsid w:val="00662952"/>
    <w:rsid w:val="00664E2F"/>
    <w:rsid w:val="006651CD"/>
    <w:rsid w:val="006672D5"/>
    <w:rsid w:val="00671754"/>
    <w:rsid w:val="0067188C"/>
    <w:rsid w:val="00673015"/>
    <w:rsid w:val="00675093"/>
    <w:rsid w:val="006753E7"/>
    <w:rsid w:val="00675A71"/>
    <w:rsid w:val="00676C51"/>
    <w:rsid w:val="0067719A"/>
    <w:rsid w:val="00677BEC"/>
    <w:rsid w:val="00680CAA"/>
    <w:rsid w:val="0068693C"/>
    <w:rsid w:val="00687AB3"/>
    <w:rsid w:val="006900D8"/>
    <w:rsid w:val="00692272"/>
    <w:rsid w:val="00692317"/>
    <w:rsid w:val="00694ABB"/>
    <w:rsid w:val="00694B81"/>
    <w:rsid w:val="00695C1F"/>
    <w:rsid w:val="006968E8"/>
    <w:rsid w:val="00696F64"/>
    <w:rsid w:val="006A0813"/>
    <w:rsid w:val="006A2116"/>
    <w:rsid w:val="006A2494"/>
    <w:rsid w:val="006A2592"/>
    <w:rsid w:val="006A483B"/>
    <w:rsid w:val="006A567E"/>
    <w:rsid w:val="006A62C5"/>
    <w:rsid w:val="006B12CE"/>
    <w:rsid w:val="006B2EE0"/>
    <w:rsid w:val="006B35D9"/>
    <w:rsid w:val="006B39D4"/>
    <w:rsid w:val="006B3EF2"/>
    <w:rsid w:val="006C033B"/>
    <w:rsid w:val="006C0EEE"/>
    <w:rsid w:val="006C1678"/>
    <w:rsid w:val="006C1800"/>
    <w:rsid w:val="006C2587"/>
    <w:rsid w:val="006C6081"/>
    <w:rsid w:val="006C633A"/>
    <w:rsid w:val="006C686F"/>
    <w:rsid w:val="006D000C"/>
    <w:rsid w:val="006D01A3"/>
    <w:rsid w:val="006D039E"/>
    <w:rsid w:val="006D0EAA"/>
    <w:rsid w:val="006D0FCE"/>
    <w:rsid w:val="006D1B4D"/>
    <w:rsid w:val="006D21BF"/>
    <w:rsid w:val="006D5C62"/>
    <w:rsid w:val="006D62EB"/>
    <w:rsid w:val="006D73CE"/>
    <w:rsid w:val="006D789B"/>
    <w:rsid w:val="006D7E8D"/>
    <w:rsid w:val="006E0072"/>
    <w:rsid w:val="006E069C"/>
    <w:rsid w:val="006E1133"/>
    <w:rsid w:val="006E1D27"/>
    <w:rsid w:val="006E4F3B"/>
    <w:rsid w:val="006F007F"/>
    <w:rsid w:val="006F291E"/>
    <w:rsid w:val="006F3479"/>
    <w:rsid w:val="006F4B29"/>
    <w:rsid w:val="006F4C56"/>
    <w:rsid w:val="006F502D"/>
    <w:rsid w:val="006F50BE"/>
    <w:rsid w:val="006F65C1"/>
    <w:rsid w:val="007030D7"/>
    <w:rsid w:val="00705B5E"/>
    <w:rsid w:val="00710CD7"/>
    <w:rsid w:val="00712E4B"/>
    <w:rsid w:val="0071485F"/>
    <w:rsid w:val="00714F4D"/>
    <w:rsid w:val="007152EC"/>
    <w:rsid w:val="00716698"/>
    <w:rsid w:val="00716A0A"/>
    <w:rsid w:val="00716AFA"/>
    <w:rsid w:val="007172AC"/>
    <w:rsid w:val="007178CD"/>
    <w:rsid w:val="007221E1"/>
    <w:rsid w:val="00722DF3"/>
    <w:rsid w:val="00723341"/>
    <w:rsid w:val="00723567"/>
    <w:rsid w:val="00724B8B"/>
    <w:rsid w:val="007271F6"/>
    <w:rsid w:val="00730853"/>
    <w:rsid w:val="00730D1B"/>
    <w:rsid w:val="00731F15"/>
    <w:rsid w:val="007331C1"/>
    <w:rsid w:val="007332E6"/>
    <w:rsid w:val="0073373C"/>
    <w:rsid w:val="00734BB6"/>
    <w:rsid w:val="00736094"/>
    <w:rsid w:val="0073740C"/>
    <w:rsid w:val="0073743C"/>
    <w:rsid w:val="0073779D"/>
    <w:rsid w:val="00740D09"/>
    <w:rsid w:val="007434DA"/>
    <w:rsid w:val="00743918"/>
    <w:rsid w:val="00744ECB"/>
    <w:rsid w:val="007450D8"/>
    <w:rsid w:val="00750C22"/>
    <w:rsid w:val="00752EA2"/>
    <w:rsid w:val="00754DC0"/>
    <w:rsid w:val="00755134"/>
    <w:rsid w:val="00757BFA"/>
    <w:rsid w:val="007606B4"/>
    <w:rsid w:val="00760BF8"/>
    <w:rsid w:val="0076260A"/>
    <w:rsid w:val="00762A63"/>
    <w:rsid w:val="00763EC6"/>
    <w:rsid w:val="0076402F"/>
    <w:rsid w:val="00764858"/>
    <w:rsid w:val="00765E60"/>
    <w:rsid w:val="007661AB"/>
    <w:rsid w:val="00773AC2"/>
    <w:rsid w:val="00774D29"/>
    <w:rsid w:val="00782D42"/>
    <w:rsid w:val="00783E56"/>
    <w:rsid w:val="00784ED9"/>
    <w:rsid w:val="00785D71"/>
    <w:rsid w:val="00786379"/>
    <w:rsid w:val="00787165"/>
    <w:rsid w:val="00787B43"/>
    <w:rsid w:val="00794A35"/>
    <w:rsid w:val="00794E52"/>
    <w:rsid w:val="007956B6"/>
    <w:rsid w:val="00795E94"/>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2A0B"/>
    <w:rsid w:val="007C3B5F"/>
    <w:rsid w:val="007C5797"/>
    <w:rsid w:val="007D060C"/>
    <w:rsid w:val="007D3E92"/>
    <w:rsid w:val="007D59B0"/>
    <w:rsid w:val="007E044C"/>
    <w:rsid w:val="007E1EF7"/>
    <w:rsid w:val="007E5126"/>
    <w:rsid w:val="007E5E30"/>
    <w:rsid w:val="007E68CD"/>
    <w:rsid w:val="007E7A77"/>
    <w:rsid w:val="007E7F4F"/>
    <w:rsid w:val="007F0027"/>
    <w:rsid w:val="007F1D9C"/>
    <w:rsid w:val="007F2160"/>
    <w:rsid w:val="007F4306"/>
    <w:rsid w:val="007F513A"/>
    <w:rsid w:val="007F518E"/>
    <w:rsid w:val="007F58C1"/>
    <w:rsid w:val="007F5F59"/>
    <w:rsid w:val="007F7470"/>
    <w:rsid w:val="00800297"/>
    <w:rsid w:val="00800EF3"/>
    <w:rsid w:val="008012B7"/>
    <w:rsid w:val="00802669"/>
    <w:rsid w:val="00802E59"/>
    <w:rsid w:val="00802FD8"/>
    <w:rsid w:val="0080401C"/>
    <w:rsid w:val="0080436C"/>
    <w:rsid w:val="00804720"/>
    <w:rsid w:val="00804FDD"/>
    <w:rsid w:val="00806BC8"/>
    <w:rsid w:val="0081042E"/>
    <w:rsid w:val="00812089"/>
    <w:rsid w:val="0081222A"/>
    <w:rsid w:val="0081571E"/>
    <w:rsid w:val="00815969"/>
    <w:rsid w:val="00815B97"/>
    <w:rsid w:val="008207CD"/>
    <w:rsid w:val="00820FAA"/>
    <w:rsid w:val="008263EC"/>
    <w:rsid w:val="00826FBA"/>
    <w:rsid w:val="00832DFF"/>
    <w:rsid w:val="00832E78"/>
    <w:rsid w:val="00834A52"/>
    <w:rsid w:val="00834E64"/>
    <w:rsid w:val="00836397"/>
    <w:rsid w:val="008373EA"/>
    <w:rsid w:val="0084008F"/>
    <w:rsid w:val="008401E5"/>
    <w:rsid w:val="008413E1"/>
    <w:rsid w:val="00841966"/>
    <w:rsid w:val="00842D44"/>
    <w:rsid w:val="0084307E"/>
    <w:rsid w:val="00843540"/>
    <w:rsid w:val="0084384C"/>
    <w:rsid w:val="008461AC"/>
    <w:rsid w:val="0084643E"/>
    <w:rsid w:val="00847A26"/>
    <w:rsid w:val="0085044A"/>
    <w:rsid w:val="008510A1"/>
    <w:rsid w:val="00851FE3"/>
    <w:rsid w:val="00854BB5"/>
    <w:rsid w:val="00855F39"/>
    <w:rsid w:val="0085681C"/>
    <w:rsid w:val="008676F3"/>
    <w:rsid w:val="008678A0"/>
    <w:rsid w:val="00867A8C"/>
    <w:rsid w:val="0087037B"/>
    <w:rsid w:val="00870B6A"/>
    <w:rsid w:val="00872A5A"/>
    <w:rsid w:val="00873AB2"/>
    <w:rsid w:val="0087467C"/>
    <w:rsid w:val="0087532A"/>
    <w:rsid w:val="00876565"/>
    <w:rsid w:val="00877990"/>
    <w:rsid w:val="00877AF1"/>
    <w:rsid w:val="00877E96"/>
    <w:rsid w:val="0088003C"/>
    <w:rsid w:val="0088073B"/>
    <w:rsid w:val="00881651"/>
    <w:rsid w:val="0088266C"/>
    <w:rsid w:val="00883256"/>
    <w:rsid w:val="0088339A"/>
    <w:rsid w:val="00883898"/>
    <w:rsid w:val="00883BBE"/>
    <w:rsid w:val="008872BA"/>
    <w:rsid w:val="00890F4C"/>
    <w:rsid w:val="00894AAA"/>
    <w:rsid w:val="00894ED8"/>
    <w:rsid w:val="008960B6"/>
    <w:rsid w:val="008A188B"/>
    <w:rsid w:val="008A22C5"/>
    <w:rsid w:val="008A25E5"/>
    <w:rsid w:val="008A4450"/>
    <w:rsid w:val="008A4933"/>
    <w:rsid w:val="008B1B37"/>
    <w:rsid w:val="008B2923"/>
    <w:rsid w:val="008B3328"/>
    <w:rsid w:val="008B589E"/>
    <w:rsid w:val="008C0B9D"/>
    <w:rsid w:val="008C1A8D"/>
    <w:rsid w:val="008C1CC1"/>
    <w:rsid w:val="008C4D81"/>
    <w:rsid w:val="008C51D1"/>
    <w:rsid w:val="008C5436"/>
    <w:rsid w:val="008D0109"/>
    <w:rsid w:val="008D4C10"/>
    <w:rsid w:val="008D76C0"/>
    <w:rsid w:val="008D7818"/>
    <w:rsid w:val="008D7C42"/>
    <w:rsid w:val="008E1D7C"/>
    <w:rsid w:val="008E69D7"/>
    <w:rsid w:val="008E798E"/>
    <w:rsid w:val="008F0C8E"/>
    <w:rsid w:val="008F13DE"/>
    <w:rsid w:val="008F2B98"/>
    <w:rsid w:val="008F434A"/>
    <w:rsid w:val="008F4AE6"/>
    <w:rsid w:val="008F6008"/>
    <w:rsid w:val="00900397"/>
    <w:rsid w:val="00901FF7"/>
    <w:rsid w:val="00903060"/>
    <w:rsid w:val="00904D4E"/>
    <w:rsid w:val="00905FF8"/>
    <w:rsid w:val="009119CD"/>
    <w:rsid w:val="00912513"/>
    <w:rsid w:val="00913BE8"/>
    <w:rsid w:val="00916119"/>
    <w:rsid w:val="00916802"/>
    <w:rsid w:val="0091689D"/>
    <w:rsid w:val="009173D8"/>
    <w:rsid w:val="00920581"/>
    <w:rsid w:val="00923C84"/>
    <w:rsid w:val="009245C7"/>
    <w:rsid w:val="00924FF2"/>
    <w:rsid w:val="0092594A"/>
    <w:rsid w:val="00925CE7"/>
    <w:rsid w:val="009261FB"/>
    <w:rsid w:val="009308ED"/>
    <w:rsid w:val="0093393E"/>
    <w:rsid w:val="009340B8"/>
    <w:rsid w:val="00935150"/>
    <w:rsid w:val="009403AF"/>
    <w:rsid w:val="00945FD6"/>
    <w:rsid w:val="00947959"/>
    <w:rsid w:val="0095028A"/>
    <w:rsid w:val="00951944"/>
    <w:rsid w:val="009520DB"/>
    <w:rsid w:val="00952EC6"/>
    <w:rsid w:val="00953334"/>
    <w:rsid w:val="00953616"/>
    <w:rsid w:val="00955493"/>
    <w:rsid w:val="009604BE"/>
    <w:rsid w:val="0096122E"/>
    <w:rsid w:val="00961354"/>
    <w:rsid w:val="00961B6E"/>
    <w:rsid w:val="00963D94"/>
    <w:rsid w:val="009649D7"/>
    <w:rsid w:val="00966A3E"/>
    <w:rsid w:val="00970B1E"/>
    <w:rsid w:val="00971E56"/>
    <w:rsid w:val="00973FDE"/>
    <w:rsid w:val="009743CD"/>
    <w:rsid w:val="00974813"/>
    <w:rsid w:val="00975E63"/>
    <w:rsid w:val="00976D93"/>
    <w:rsid w:val="00977389"/>
    <w:rsid w:val="009779E0"/>
    <w:rsid w:val="009801BC"/>
    <w:rsid w:val="00984890"/>
    <w:rsid w:val="00984EE7"/>
    <w:rsid w:val="00985CB9"/>
    <w:rsid w:val="00986F6E"/>
    <w:rsid w:val="009877EF"/>
    <w:rsid w:val="00990C6B"/>
    <w:rsid w:val="0099351A"/>
    <w:rsid w:val="00993E69"/>
    <w:rsid w:val="009944D8"/>
    <w:rsid w:val="009946CF"/>
    <w:rsid w:val="009959F0"/>
    <w:rsid w:val="00995E6C"/>
    <w:rsid w:val="009960A1"/>
    <w:rsid w:val="00997AEC"/>
    <w:rsid w:val="009A11BE"/>
    <w:rsid w:val="009A22DA"/>
    <w:rsid w:val="009A251D"/>
    <w:rsid w:val="009A25EE"/>
    <w:rsid w:val="009A32B6"/>
    <w:rsid w:val="009A49FC"/>
    <w:rsid w:val="009A53AE"/>
    <w:rsid w:val="009A5832"/>
    <w:rsid w:val="009A5AB6"/>
    <w:rsid w:val="009A7E72"/>
    <w:rsid w:val="009A7F12"/>
    <w:rsid w:val="009B0657"/>
    <w:rsid w:val="009B15E0"/>
    <w:rsid w:val="009B1EFE"/>
    <w:rsid w:val="009B2CDF"/>
    <w:rsid w:val="009B5A46"/>
    <w:rsid w:val="009B67C5"/>
    <w:rsid w:val="009B720C"/>
    <w:rsid w:val="009B7AD3"/>
    <w:rsid w:val="009B7D1B"/>
    <w:rsid w:val="009C0264"/>
    <w:rsid w:val="009C3A2D"/>
    <w:rsid w:val="009C45FF"/>
    <w:rsid w:val="009C4FA7"/>
    <w:rsid w:val="009C649A"/>
    <w:rsid w:val="009D0603"/>
    <w:rsid w:val="009D4321"/>
    <w:rsid w:val="009D5E39"/>
    <w:rsid w:val="009D6199"/>
    <w:rsid w:val="009D63AE"/>
    <w:rsid w:val="009D7CB0"/>
    <w:rsid w:val="009E0604"/>
    <w:rsid w:val="009E62B4"/>
    <w:rsid w:val="009E662D"/>
    <w:rsid w:val="009E7EC6"/>
    <w:rsid w:val="009F0E70"/>
    <w:rsid w:val="009F2B42"/>
    <w:rsid w:val="009F4307"/>
    <w:rsid w:val="009F5D37"/>
    <w:rsid w:val="009F680B"/>
    <w:rsid w:val="009F75B5"/>
    <w:rsid w:val="00A00E89"/>
    <w:rsid w:val="00A01CF7"/>
    <w:rsid w:val="00A04F56"/>
    <w:rsid w:val="00A0736F"/>
    <w:rsid w:val="00A101D9"/>
    <w:rsid w:val="00A10AA1"/>
    <w:rsid w:val="00A10B1E"/>
    <w:rsid w:val="00A12EC7"/>
    <w:rsid w:val="00A1411E"/>
    <w:rsid w:val="00A14471"/>
    <w:rsid w:val="00A147AD"/>
    <w:rsid w:val="00A158AD"/>
    <w:rsid w:val="00A16E6F"/>
    <w:rsid w:val="00A21A9A"/>
    <w:rsid w:val="00A236DC"/>
    <w:rsid w:val="00A23C68"/>
    <w:rsid w:val="00A2568F"/>
    <w:rsid w:val="00A25A20"/>
    <w:rsid w:val="00A25F35"/>
    <w:rsid w:val="00A30797"/>
    <w:rsid w:val="00A32019"/>
    <w:rsid w:val="00A324DB"/>
    <w:rsid w:val="00A32A47"/>
    <w:rsid w:val="00A35D8F"/>
    <w:rsid w:val="00A37F9F"/>
    <w:rsid w:val="00A40A8C"/>
    <w:rsid w:val="00A43E4F"/>
    <w:rsid w:val="00A45186"/>
    <w:rsid w:val="00A4534B"/>
    <w:rsid w:val="00A457B6"/>
    <w:rsid w:val="00A473E1"/>
    <w:rsid w:val="00A4775E"/>
    <w:rsid w:val="00A52048"/>
    <w:rsid w:val="00A52D32"/>
    <w:rsid w:val="00A56DB2"/>
    <w:rsid w:val="00A57B22"/>
    <w:rsid w:val="00A614AD"/>
    <w:rsid w:val="00A61CED"/>
    <w:rsid w:val="00A649C6"/>
    <w:rsid w:val="00A65F2E"/>
    <w:rsid w:val="00A6693F"/>
    <w:rsid w:val="00A6764B"/>
    <w:rsid w:val="00A70304"/>
    <w:rsid w:val="00A70B13"/>
    <w:rsid w:val="00A74192"/>
    <w:rsid w:val="00A760B5"/>
    <w:rsid w:val="00A81F16"/>
    <w:rsid w:val="00A824A2"/>
    <w:rsid w:val="00A82D5E"/>
    <w:rsid w:val="00A84BCB"/>
    <w:rsid w:val="00A85FA6"/>
    <w:rsid w:val="00A86BFF"/>
    <w:rsid w:val="00A87B7D"/>
    <w:rsid w:val="00A91C99"/>
    <w:rsid w:val="00A91CCB"/>
    <w:rsid w:val="00A971B2"/>
    <w:rsid w:val="00AA06AD"/>
    <w:rsid w:val="00AA116D"/>
    <w:rsid w:val="00AA4DAC"/>
    <w:rsid w:val="00AA5907"/>
    <w:rsid w:val="00AA62B6"/>
    <w:rsid w:val="00AB0C7C"/>
    <w:rsid w:val="00AB1010"/>
    <w:rsid w:val="00AB118C"/>
    <w:rsid w:val="00AB269C"/>
    <w:rsid w:val="00AB4ED7"/>
    <w:rsid w:val="00AB6C9E"/>
    <w:rsid w:val="00AB7191"/>
    <w:rsid w:val="00AC07AD"/>
    <w:rsid w:val="00AC10E2"/>
    <w:rsid w:val="00AC38F9"/>
    <w:rsid w:val="00AC3E64"/>
    <w:rsid w:val="00AC69A1"/>
    <w:rsid w:val="00AC7DB9"/>
    <w:rsid w:val="00AD17BB"/>
    <w:rsid w:val="00AD3A0C"/>
    <w:rsid w:val="00AD3CC2"/>
    <w:rsid w:val="00AD3D63"/>
    <w:rsid w:val="00AD515A"/>
    <w:rsid w:val="00AD598D"/>
    <w:rsid w:val="00AD62F7"/>
    <w:rsid w:val="00AD730F"/>
    <w:rsid w:val="00AD73F7"/>
    <w:rsid w:val="00AD76D5"/>
    <w:rsid w:val="00AE1269"/>
    <w:rsid w:val="00AE52A9"/>
    <w:rsid w:val="00AE7F75"/>
    <w:rsid w:val="00AF096B"/>
    <w:rsid w:val="00AF500B"/>
    <w:rsid w:val="00AF5D79"/>
    <w:rsid w:val="00AF7D65"/>
    <w:rsid w:val="00B021C9"/>
    <w:rsid w:val="00B02388"/>
    <w:rsid w:val="00B035D0"/>
    <w:rsid w:val="00B03727"/>
    <w:rsid w:val="00B04861"/>
    <w:rsid w:val="00B065B8"/>
    <w:rsid w:val="00B06C1E"/>
    <w:rsid w:val="00B11B16"/>
    <w:rsid w:val="00B11C54"/>
    <w:rsid w:val="00B132F8"/>
    <w:rsid w:val="00B13A7D"/>
    <w:rsid w:val="00B149C7"/>
    <w:rsid w:val="00B207A5"/>
    <w:rsid w:val="00B235F3"/>
    <w:rsid w:val="00B24EA5"/>
    <w:rsid w:val="00B25F91"/>
    <w:rsid w:val="00B276B0"/>
    <w:rsid w:val="00B2782B"/>
    <w:rsid w:val="00B31B89"/>
    <w:rsid w:val="00B33410"/>
    <w:rsid w:val="00B33943"/>
    <w:rsid w:val="00B34728"/>
    <w:rsid w:val="00B35360"/>
    <w:rsid w:val="00B3669C"/>
    <w:rsid w:val="00B37E96"/>
    <w:rsid w:val="00B42019"/>
    <w:rsid w:val="00B434DA"/>
    <w:rsid w:val="00B4366E"/>
    <w:rsid w:val="00B4595C"/>
    <w:rsid w:val="00B4693B"/>
    <w:rsid w:val="00B549D1"/>
    <w:rsid w:val="00B55A7C"/>
    <w:rsid w:val="00B563BB"/>
    <w:rsid w:val="00B567C8"/>
    <w:rsid w:val="00B659C7"/>
    <w:rsid w:val="00B66E18"/>
    <w:rsid w:val="00B6720B"/>
    <w:rsid w:val="00B72231"/>
    <w:rsid w:val="00B73265"/>
    <w:rsid w:val="00B74E49"/>
    <w:rsid w:val="00B75543"/>
    <w:rsid w:val="00B75DA8"/>
    <w:rsid w:val="00B76155"/>
    <w:rsid w:val="00B77116"/>
    <w:rsid w:val="00B85F2A"/>
    <w:rsid w:val="00B86912"/>
    <w:rsid w:val="00B86CF2"/>
    <w:rsid w:val="00B875A8"/>
    <w:rsid w:val="00B910D6"/>
    <w:rsid w:val="00B96362"/>
    <w:rsid w:val="00B966A2"/>
    <w:rsid w:val="00B969BD"/>
    <w:rsid w:val="00BA08E0"/>
    <w:rsid w:val="00BA1A23"/>
    <w:rsid w:val="00BA242B"/>
    <w:rsid w:val="00BA3F4C"/>
    <w:rsid w:val="00BA58BF"/>
    <w:rsid w:val="00BA5B26"/>
    <w:rsid w:val="00BA67C3"/>
    <w:rsid w:val="00BA74CF"/>
    <w:rsid w:val="00BA7536"/>
    <w:rsid w:val="00BB0AAC"/>
    <w:rsid w:val="00BB0B0B"/>
    <w:rsid w:val="00BB47FD"/>
    <w:rsid w:val="00BB4DEC"/>
    <w:rsid w:val="00BB6DF2"/>
    <w:rsid w:val="00BB6ED5"/>
    <w:rsid w:val="00BC08D6"/>
    <w:rsid w:val="00BC0AD5"/>
    <w:rsid w:val="00BC3CD4"/>
    <w:rsid w:val="00BC54A7"/>
    <w:rsid w:val="00BC651F"/>
    <w:rsid w:val="00BD2B36"/>
    <w:rsid w:val="00BD38BA"/>
    <w:rsid w:val="00BD40B1"/>
    <w:rsid w:val="00BD5A29"/>
    <w:rsid w:val="00BE0743"/>
    <w:rsid w:val="00BE0CA4"/>
    <w:rsid w:val="00BE5A64"/>
    <w:rsid w:val="00BF262F"/>
    <w:rsid w:val="00BF36B4"/>
    <w:rsid w:val="00C01962"/>
    <w:rsid w:val="00C031A4"/>
    <w:rsid w:val="00C05967"/>
    <w:rsid w:val="00C05E47"/>
    <w:rsid w:val="00C06375"/>
    <w:rsid w:val="00C06B10"/>
    <w:rsid w:val="00C06F57"/>
    <w:rsid w:val="00C07D6B"/>
    <w:rsid w:val="00C11201"/>
    <w:rsid w:val="00C11C96"/>
    <w:rsid w:val="00C12176"/>
    <w:rsid w:val="00C12E15"/>
    <w:rsid w:val="00C147B4"/>
    <w:rsid w:val="00C17A5B"/>
    <w:rsid w:val="00C17CE0"/>
    <w:rsid w:val="00C23851"/>
    <w:rsid w:val="00C246F3"/>
    <w:rsid w:val="00C24BD1"/>
    <w:rsid w:val="00C2745F"/>
    <w:rsid w:val="00C27736"/>
    <w:rsid w:val="00C2790E"/>
    <w:rsid w:val="00C27AA9"/>
    <w:rsid w:val="00C27AB9"/>
    <w:rsid w:val="00C31666"/>
    <w:rsid w:val="00C3191A"/>
    <w:rsid w:val="00C31D6F"/>
    <w:rsid w:val="00C35218"/>
    <w:rsid w:val="00C359DC"/>
    <w:rsid w:val="00C37B63"/>
    <w:rsid w:val="00C40BF8"/>
    <w:rsid w:val="00C4266E"/>
    <w:rsid w:val="00C4335D"/>
    <w:rsid w:val="00C44AA8"/>
    <w:rsid w:val="00C5438F"/>
    <w:rsid w:val="00C551A0"/>
    <w:rsid w:val="00C55E11"/>
    <w:rsid w:val="00C57EC8"/>
    <w:rsid w:val="00C607C5"/>
    <w:rsid w:val="00C63214"/>
    <w:rsid w:val="00C64143"/>
    <w:rsid w:val="00C65124"/>
    <w:rsid w:val="00C651ED"/>
    <w:rsid w:val="00C6550B"/>
    <w:rsid w:val="00C7002F"/>
    <w:rsid w:val="00C7114A"/>
    <w:rsid w:val="00C7469C"/>
    <w:rsid w:val="00C74ED5"/>
    <w:rsid w:val="00C75527"/>
    <w:rsid w:val="00C757A9"/>
    <w:rsid w:val="00C82193"/>
    <w:rsid w:val="00C84FD8"/>
    <w:rsid w:val="00C85A7B"/>
    <w:rsid w:val="00C85AA9"/>
    <w:rsid w:val="00C86AF8"/>
    <w:rsid w:val="00C8704A"/>
    <w:rsid w:val="00C87354"/>
    <w:rsid w:val="00C95409"/>
    <w:rsid w:val="00C96FEB"/>
    <w:rsid w:val="00C972AE"/>
    <w:rsid w:val="00C97D4D"/>
    <w:rsid w:val="00CA0708"/>
    <w:rsid w:val="00CA37DD"/>
    <w:rsid w:val="00CA4D7D"/>
    <w:rsid w:val="00CB0495"/>
    <w:rsid w:val="00CB1C10"/>
    <w:rsid w:val="00CB1E0C"/>
    <w:rsid w:val="00CB2067"/>
    <w:rsid w:val="00CB434A"/>
    <w:rsid w:val="00CB451D"/>
    <w:rsid w:val="00CB6545"/>
    <w:rsid w:val="00CC1C2E"/>
    <w:rsid w:val="00CC1CEA"/>
    <w:rsid w:val="00CC1FD2"/>
    <w:rsid w:val="00CC3A8C"/>
    <w:rsid w:val="00CC7054"/>
    <w:rsid w:val="00CC7A3B"/>
    <w:rsid w:val="00CD00AC"/>
    <w:rsid w:val="00CD1AE5"/>
    <w:rsid w:val="00CD1FFE"/>
    <w:rsid w:val="00CD4791"/>
    <w:rsid w:val="00CD763C"/>
    <w:rsid w:val="00CE09B8"/>
    <w:rsid w:val="00CE1231"/>
    <w:rsid w:val="00CE3C53"/>
    <w:rsid w:val="00CE5CAF"/>
    <w:rsid w:val="00CE6182"/>
    <w:rsid w:val="00CE6BA8"/>
    <w:rsid w:val="00CE74AD"/>
    <w:rsid w:val="00CF17C1"/>
    <w:rsid w:val="00CF55CF"/>
    <w:rsid w:val="00CF700B"/>
    <w:rsid w:val="00D05592"/>
    <w:rsid w:val="00D06E5E"/>
    <w:rsid w:val="00D10487"/>
    <w:rsid w:val="00D11D0F"/>
    <w:rsid w:val="00D12C14"/>
    <w:rsid w:val="00D14327"/>
    <w:rsid w:val="00D204A3"/>
    <w:rsid w:val="00D20928"/>
    <w:rsid w:val="00D20CB0"/>
    <w:rsid w:val="00D21841"/>
    <w:rsid w:val="00D23964"/>
    <w:rsid w:val="00D24596"/>
    <w:rsid w:val="00D25B95"/>
    <w:rsid w:val="00D25F71"/>
    <w:rsid w:val="00D26832"/>
    <w:rsid w:val="00D27C85"/>
    <w:rsid w:val="00D31035"/>
    <w:rsid w:val="00D3212B"/>
    <w:rsid w:val="00D3258A"/>
    <w:rsid w:val="00D3266E"/>
    <w:rsid w:val="00D32EE9"/>
    <w:rsid w:val="00D35132"/>
    <w:rsid w:val="00D35B64"/>
    <w:rsid w:val="00D35C31"/>
    <w:rsid w:val="00D403A4"/>
    <w:rsid w:val="00D41136"/>
    <w:rsid w:val="00D41DC7"/>
    <w:rsid w:val="00D42E3E"/>
    <w:rsid w:val="00D43656"/>
    <w:rsid w:val="00D46119"/>
    <w:rsid w:val="00D51D00"/>
    <w:rsid w:val="00D524E2"/>
    <w:rsid w:val="00D54A80"/>
    <w:rsid w:val="00D550D7"/>
    <w:rsid w:val="00D56FDC"/>
    <w:rsid w:val="00D57BEC"/>
    <w:rsid w:val="00D626F0"/>
    <w:rsid w:val="00D650C6"/>
    <w:rsid w:val="00D656C8"/>
    <w:rsid w:val="00D66874"/>
    <w:rsid w:val="00D679ED"/>
    <w:rsid w:val="00D700B3"/>
    <w:rsid w:val="00D70871"/>
    <w:rsid w:val="00D708ED"/>
    <w:rsid w:val="00D74082"/>
    <w:rsid w:val="00D74424"/>
    <w:rsid w:val="00D75074"/>
    <w:rsid w:val="00D76319"/>
    <w:rsid w:val="00D765D7"/>
    <w:rsid w:val="00D83A7E"/>
    <w:rsid w:val="00D8423E"/>
    <w:rsid w:val="00D84C4E"/>
    <w:rsid w:val="00D873A4"/>
    <w:rsid w:val="00D87BC1"/>
    <w:rsid w:val="00D87CC2"/>
    <w:rsid w:val="00D9268B"/>
    <w:rsid w:val="00D92CC4"/>
    <w:rsid w:val="00D93676"/>
    <w:rsid w:val="00D95432"/>
    <w:rsid w:val="00D969D2"/>
    <w:rsid w:val="00D96BEF"/>
    <w:rsid w:val="00DA3C75"/>
    <w:rsid w:val="00DA40B7"/>
    <w:rsid w:val="00DA4475"/>
    <w:rsid w:val="00DA4700"/>
    <w:rsid w:val="00DA49BD"/>
    <w:rsid w:val="00DA744F"/>
    <w:rsid w:val="00DB3077"/>
    <w:rsid w:val="00DB3D06"/>
    <w:rsid w:val="00DB3DAF"/>
    <w:rsid w:val="00DB562F"/>
    <w:rsid w:val="00DB6442"/>
    <w:rsid w:val="00DB7CD3"/>
    <w:rsid w:val="00DB7F21"/>
    <w:rsid w:val="00DC0149"/>
    <w:rsid w:val="00DC32C3"/>
    <w:rsid w:val="00DC7896"/>
    <w:rsid w:val="00DC7ACB"/>
    <w:rsid w:val="00DC7E67"/>
    <w:rsid w:val="00DD00B1"/>
    <w:rsid w:val="00DD077C"/>
    <w:rsid w:val="00DD159E"/>
    <w:rsid w:val="00DD2D5A"/>
    <w:rsid w:val="00DD3A8E"/>
    <w:rsid w:val="00DD4844"/>
    <w:rsid w:val="00DD7E2D"/>
    <w:rsid w:val="00DE0C7F"/>
    <w:rsid w:val="00DE2090"/>
    <w:rsid w:val="00DE2D4D"/>
    <w:rsid w:val="00DE5C17"/>
    <w:rsid w:val="00DE5DA3"/>
    <w:rsid w:val="00DE73E9"/>
    <w:rsid w:val="00DE7BBB"/>
    <w:rsid w:val="00DE7BE8"/>
    <w:rsid w:val="00DF2054"/>
    <w:rsid w:val="00DF2F2E"/>
    <w:rsid w:val="00DF4214"/>
    <w:rsid w:val="00DF42ED"/>
    <w:rsid w:val="00DF4D03"/>
    <w:rsid w:val="00DF591C"/>
    <w:rsid w:val="00DF7A12"/>
    <w:rsid w:val="00E002E2"/>
    <w:rsid w:val="00E05224"/>
    <w:rsid w:val="00E05B7D"/>
    <w:rsid w:val="00E0773C"/>
    <w:rsid w:val="00E119B7"/>
    <w:rsid w:val="00E123F0"/>
    <w:rsid w:val="00E130DD"/>
    <w:rsid w:val="00E133B7"/>
    <w:rsid w:val="00E14245"/>
    <w:rsid w:val="00E14F89"/>
    <w:rsid w:val="00E15DF7"/>
    <w:rsid w:val="00E2147B"/>
    <w:rsid w:val="00E21F03"/>
    <w:rsid w:val="00E22866"/>
    <w:rsid w:val="00E2344C"/>
    <w:rsid w:val="00E23D97"/>
    <w:rsid w:val="00E24C67"/>
    <w:rsid w:val="00E24EDC"/>
    <w:rsid w:val="00E27D21"/>
    <w:rsid w:val="00E301C0"/>
    <w:rsid w:val="00E31082"/>
    <w:rsid w:val="00E31E66"/>
    <w:rsid w:val="00E32184"/>
    <w:rsid w:val="00E32E3A"/>
    <w:rsid w:val="00E332DA"/>
    <w:rsid w:val="00E34ADB"/>
    <w:rsid w:val="00E4262D"/>
    <w:rsid w:val="00E4301F"/>
    <w:rsid w:val="00E45277"/>
    <w:rsid w:val="00E45D3A"/>
    <w:rsid w:val="00E46C80"/>
    <w:rsid w:val="00E47A53"/>
    <w:rsid w:val="00E5083F"/>
    <w:rsid w:val="00E50E74"/>
    <w:rsid w:val="00E52CA2"/>
    <w:rsid w:val="00E53555"/>
    <w:rsid w:val="00E53736"/>
    <w:rsid w:val="00E53E3D"/>
    <w:rsid w:val="00E553A0"/>
    <w:rsid w:val="00E56063"/>
    <w:rsid w:val="00E5613F"/>
    <w:rsid w:val="00E60E15"/>
    <w:rsid w:val="00E61F23"/>
    <w:rsid w:val="00E6214B"/>
    <w:rsid w:val="00E6240A"/>
    <w:rsid w:val="00E65A15"/>
    <w:rsid w:val="00E70CF1"/>
    <w:rsid w:val="00E71868"/>
    <w:rsid w:val="00E7203C"/>
    <w:rsid w:val="00E73B2E"/>
    <w:rsid w:val="00E74473"/>
    <w:rsid w:val="00E763F7"/>
    <w:rsid w:val="00E7721C"/>
    <w:rsid w:val="00E77BA9"/>
    <w:rsid w:val="00E80AA8"/>
    <w:rsid w:val="00E82E4E"/>
    <w:rsid w:val="00E844E0"/>
    <w:rsid w:val="00E86ED1"/>
    <w:rsid w:val="00E87122"/>
    <w:rsid w:val="00E8736F"/>
    <w:rsid w:val="00E91B3B"/>
    <w:rsid w:val="00E91D1F"/>
    <w:rsid w:val="00E92AD3"/>
    <w:rsid w:val="00E92C63"/>
    <w:rsid w:val="00E94014"/>
    <w:rsid w:val="00E95706"/>
    <w:rsid w:val="00EA021D"/>
    <w:rsid w:val="00EA1083"/>
    <w:rsid w:val="00EA117B"/>
    <w:rsid w:val="00EA13CA"/>
    <w:rsid w:val="00EA22BC"/>
    <w:rsid w:val="00EA2359"/>
    <w:rsid w:val="00EA24A8"/>
    <w:rsid w:val="00EA2ACE"/>
    <w:rsid w:val="00EA40E1"/>
    <w:rsid w:val="00EA664A"/>
    <w:rsid w:val="00EB0375"/>
    <w:rsid w:val="00EB1A3A"/>
    <w:rsid w:val="00EB36D5"/>
    <w:rsid w:val="00EB3ECE"/>
    <w:rsid w:val="00EC0F05"/>
    <w:rsid w:val="00EC16AB"/>
    <w:rsid w:val="00EC6ACA"/>
    <w:rsid w:val="00EC7613"/>
    <w:rsid w:val="00EC7CFC"/>
    <w:rsid w:val="00ED3B67"/>
    <w:rsid w:val="00ED489B"/>
    <w:rsid w:val="00ED60E7"/>
    <w:rsid w:val="00ED6E54"/>
    <w:rsid w:val="00ED7404"/>
    <w:rsid w:val="00EE3A9C"/>
    <w:rsid w:val="00EE4E88"/>
    <w:rsid w:val="00EF0992"/>
    <w:rsid w:val="00EF1C9C"/>
    <w:rsid w:val="00EF2E1D"/>
    <w:rsid w:val="00EF5FE8"/>
    <w:rsid w:val="00EF6059"/>
    <w:rsid w:val="00EF6396"/>
    <w:rsid w:val="00EF6860"/>
    <w:rsid w:val="00EF74F3"/>
    <w:rsid w:val="00EF76C3"/>
    <w:rsid w:val="00F00383"/>
    <w:rsid w:val="00F006DB"/>
    <w:rsid w:val="00F016F6"/>
    <w:rsid w:val="00F02DB9"/>
    <w:rsid w:val="00F030D8"/>
    <w:rsid w:val="00F0642F"/>
    <w:rsid w:val="00F064E0"/>
    <w:rsid w:val="00F066EB"/>
    <w:rsid w:val="00F06717"/>
    <w:rsid w:val="00F07E05"/>
    <w:rsid w:val="00F13FCF"/>
    <w:rsid w:val="00F150A5"/>
    <w:rsid w:val="00F15237"/>
    <w:rsid w:val="00F15887"/>
    <w:rsid w:val="00F1792E"/>
    <w:rsid w:val="00F17AC8"/>
    <w:rsid w:val="00F2008C"/>
    <w:rsid w:val="00F20795"/>
    <w:rsid w:val="00F2105B"/>
    <w:rsid w:val="00F2116C"/>
    <w:rsid w:val="00F21723"/>
    <w:rsid w:val="00F21EDD"/>
    <w:rsid w:val="00F234D2"/>
    <w:rsid w:val="00F26367"/>
    <w:rsid w:val="00F26519"/>
    <w:rsid w:val="00F268C8"/>
    <w:rsid w:val="00F279F7"/>
    <w:rsid w:val="00F27C11"/>
    <w:rsid w:val="00F27E41"/>
    <w:rsid w:val="00F30677"/>
    <w:rsid w:val="00F30E81"/>
    <w:rsid w:val="00F3221D"/>
    <w:rsid w:val="00F32DA8"/>
    <w:rsid w:val="00F3354B"/>
    <w:rsid w:val="00F33C4F"/>
    <w:rsid w:val="00F342E4"/>
    <w:rsid w:val="00F40B2D"/>
    <w:rsid w:val="00F41322"/>
    <w:rsid w:val="00F42338"/>
    <w:rsid w:val="00F435E9"/>
    <w:rsid w:val="00F4391F"/>
    <w:rsid w:val="00F452DF"/>
    <w:rsid w:val="00F46D60"/>
    <w:rsid w:val="00F474F1"/>
    <w:rsid w:val="00F47D39"/>
    <w:rsid w:val="00F5235E"/>
    <w:rsid w:val="00F5447D"/>
    <w:rsid w:val="00F551BF"/>
    <w:rsid w:val="00F564ED"/>
    <w:rsid w:val="00F57BD0"/>
    <w:rsid w:val="00F60872"/>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59EA"/>
    <w:rsid w:val="00F75E37"/>
    <w:rsid w:val="00F814B6"/>
    <w:rsid w:val="00F81734"/>
    <w:rsid w:val="00F817B5"/>
    <w:rsid w:val="00F82DEA"/>
    <w:rsid w:val="00F82ED5"/>
    <w:rsid w:val="00F847BC"/>
    <w:rsid w:val="00F84865"/>
    <w:rsid w:val="00F84D30"/>
    <w:rsid w:val="00F86F27"/>
    <w:rsid w:val="00F876AE"/>
    <w:rsid w:val="00F90621"/>
    <w:rsid w:val="00F912B3"/>
    <w:rsid w:val="00F91470"/>
    <w:rsid w:val="00F9367E"/>
    <w:rsid w:val="00F94081"/>
    <w:rsid w:val="00F96D4C"/>
    <w:rsid w:val="00F972B3"/>
    <w:rsid w:val="00F97A37"/>
    <w:rsid w:val="00FA400D"/>
    <w:rsid w:val="00FA49E4"/>
    <w:rsid w:val="00FA4AE2"/>
    <w:rsid w:val="00FA7A77"/>
    <w:rsid w:val="00FB0210"/>
    <w:rsid w:val="00FB132B"/>
    <w:rsid w:val="00FB21F8"/>
    <w:rsid w:val="00FB23AD"/>
    <w:rsid w:val="00FB30C3"/>
    <w:rsid w:val="00FB3442"/>
    <w:rsid w:val="00FB5725"/>
    <w:rsid w:val="00FB778E"/>
    <w:rsid w:val="00FB7E0B"/>
    <w:rsid w:val="00FC0A46"/>
    <w:rsid w:val="00FC16FC"/>
    <w:rsid w:val="00FC191A"/>
    <w:rsid w:val="00FC1D53"/>
    <w:rsid w:val="00FC2996"/>
    <w:rsid w:val="00FC3D97"/>
    <w:rsid w:val="00FC4D74"/>
    <w:rsid w:val="00FC59D2"/>
    <w:rsid w:val="00FC6B32"/>
    <w:rsid w:val="00FD3AE2"/>
    <w:rsid w:val="00FD3E68"/>
    <w:rsid w:val="00FD7B5B"/>
    <w:rsid w:val="00FE2C21"/>
    <w:rsid w:val="00FE3D04"/>
    <w:rsid w:val="00FE4B58"/>
    <w:rsid w:val="00FE4C19"/>
    <w:rsid w:val="00FE6D7C"/>
    <w:rsid w:val="00FE6E67"/>
    <w:rsid w:val="00FF0132"/>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29ED374-9E4B-AD48-B242-CF3CBD5A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ñ弌’i"/>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rsid w:val="00D42E3E"/>
    <w:pPr>
      <w:spacing w:before="100" w:beforeAutospacing="1"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7B868-0818-475E-A7A2-07BA2780C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5721</TotalTime>
  <Pages>4</Pages>
  <Words>1382</Words>
  <Characters>7879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503</cp:revision>
  <cp:lastPrinted>2002-04-23T09:10:00Z</cp:lastPrinted>
  <dcterms:created xsi:type="dcterms:W3CDTF">2020-01-30T15:36:00Z</dcterms:created>
  <dcterms:modified xsi:type="dcterms:W3CDTF">2021-05-11T16:38:00Z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